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s="Times New Roman"/>
          <w:b/>
          <w:sz w:val="52"/>
          <w:szCs w:val="52"/>
        </w:rPr>
      </w:pPr>
    </w:p>
    <w:p>
      <w:pPr>
        <w:jc w:val="center"/>
        <w:rPr>
          <w:rFonts w:ascii="华文中宋" w:hAnsi="华文中宋" w:eastAsia="华文中宋" w:cs="Times New Roman"/>
          <w:b/>
          <w:sz w:val="52"/>
          <w:szCs w:val="52"/>
        </w:rPr>
      </w:pPr>
    </w:p>
    <w:p>
      <w:pPr>
        <w:jc w:val="both"/>
        <w:rPr>
          <w:rFonts w:ascii="华文中宋" w:hAnsi="华文中宋" w:eastAsia="华文中宋" w:cs="Times New Roman"/>
          <w:b/>
          <w:sz w:val="52"/>
          <w:szCs w:val="52"/>
        </w:rPr>
      </w:pPr>
    </w:p>
    <w:p>
      <w:pPr>
        <w:jc w:val="center"/>
        <w:rPr>
          <w:rFonts w:ascii="华文中宋" w:hAnsi="华文中宋" w:eastAsia="华文中宋" w:cs="Times New Roman"/>
          <w:b/>
          <w:sz w:val="52"/>
          <w:szCs w:val="52"/>
        </w:rPr>
      </w:pPr>
    </w:p>
    <w:p>
      <w:pPr>
        <w:jc w:val="center"/>
        <w:rPr>
          <w:rFonts w:ascii="华文中宋" w:hAnsi="华文中宋" w:eastAsia="华文中宋" w:cs="Times New Roman"/>
          <w:b/>
          <w:sz w:val="52"/>
          <w:szCs w:val="52"/>
        </w:rPr>
      </w:pPr>
      <w:r>
        <w:rPr>
          <w:rFonts w:ascii="华文中宋" w:hAnsi="华文中宋" w:eastAsia="华文中宋" w:cs="Times New Roman"/>
          <w:b/>
          <w:sz w:val="52"/>
          <w:szCs w:val="52"/>
        </w:rPr>
        <w:t>闽侯县“十四五”</w:t>
      </w:r>
      <w:r>
        <w:rPr>
          <w:rFonts w:hint="eastAsia" w:ascii="华文中宋" w:hAnsi="华文中宋" w:eastAsia="华文中宋" w:cs="Times New Roman"/>
          <w:b/>
          <w:sz w:val="52"/>
          <w:szCs w:val="52"/>
        </w:rPr>
        <w:t xml:space="preserve">期间          </w:t>
      </w:r>
      <w:r>
        <w:rPr>
          <w:rFonts w:ascii="华文中宋" w:hAnsi="华文中宋" w:eastAsia="华文中宋" w:cs="Times New Roman"/>
          <w:b/>
          <w:sz w:val="52"/>
          <w:szCs w:val="52"/>
        </w:rPr>
        <w:t>工业和信息化</w:t>
      </w:r>
      <w:r>
        <w:rPr>
          <w:rFonts w:hint="eastAsia" w:ascii="华文中宋" w:hAnsi="华文中宋" w:eastAsia="华文中宋" w:cs="Times New Roman"/>
          <w:b/>
          <w:sz w:val="52"/>
          <w:szCs w:val="52"/>
        </w:rPr>
        <w:t>产业</w:t>
      </w:r>
      <w:r>
        <w:rPr>
          <w:rFonts w:ascii="华文中宋" w:hAnsi="华文中宋" w:eastAsia="华文中宋" w:cs="Times New Roman"/>
          <w:b/>
          <w:sz w:val="52"/>
          <w:szCs w:val="52"/>
        </w:rPr>
        <w:t>发展</w:t>
      </w:r>
      <w:r>
        <w:rPr>
          <w:rFonts w:hint="eastAsia" w:ascii="华文中宋" w:hAnsi="华文中宋" w:eastAsia="华文中宋" w:cs="Times New Roman"/>
          <w:b/>
          <w:sz w:val="52"/>
          <w:szCs w:val="52"/>
        </w:rPr>
        <w:t>专项</w:t>
      </w:r>
      <w:r>
        <w:rPr>
          <w:rFonts w:ascii="华文中宋" w:hAnsi="华文中宋" w:eastAsia="华文中宋" w:cs="Times New Roman"/>
          <w:b/>
          <w:sz w:val="52"/>
          <w:szCs w:val="52"/>
        </w:rPr>
        <w:t>规划</w:t>
      </w:r>
    </w:p>
    <w:p>
      <w:pPr>
        <w:jc w:val="center"/>
        <w:rPr>
          <w:rFonts w:ascii="华文中宋" w:hAnsi="华文中宋" w:eastAsia="华文中宋" w:cs="Times New Roman"/>
          <w:b/>
          <w:sz w:val="52"/>
          <w:szCs w:val="52"/>
        </w:rPr>
      </w:pPr>
    </w:p>
    <w:p>
      <w:pPr>
        <w:jc w:val="center"/>
        <w:rPr>
          <w:rFonts w:ascii="华文中宋" w:hAnsi="华文中宋" w:eastAsia="华文中宋" w:cs="Times New Roman"/>
          <w:b/>
          <w:sz w:val="52"/>
          <w:szCs w:val="52"/>
        </w:rPr>
      </w:pPr>
    </w:p>
    <w:p>
      <w:pPr>
        <w:jc w:val="center"/>
        <w:rPr>
          <w:rFonts w:ascii="华文中宋" w:hAnsi="华文中宋" w:eastAsia="华文中宋" w:cs="Times New Roman"/>
          <w:b/>
          <w:sz w:val="52"/>
          <w:szCs w:val="52"/>
        </w:rPr>
      </w:pPr>
    </w:p>
    <w:p>
      <w:pPr>
        <w:jc w:val="center"/>
        <w:rPr>
          <w:rFonts w:ascii="华文中宋" w:hAnsi="华文中宋" w:eastAsia="华文中宋" w:cs="Times New Roman"/>
          <w:b/>
          <w:sz w:val="52"/>
          <w:szCs w:val="52"/>
        </w:rPr>
      </w:pPr>
    </w:p>
    <w:p>
      <w:pPr>
        <w:jc w:val="center"/>
        <w:rPr>
          <w:rFonts w:ascii="华文中宋" w:hAnsi="华文中宋" w:eastAsia="华文中宋" w:cs="Times New Roman"/>
          <w:b/>
          <w:sz w:val="52"/>
          <w:szCs w:val="52"/>
        </w:rPr>
      </w:pPr>
    </w:p>
    <w:p>
      <w:pPr>
        <w:jc w:val="center"/>
        <w:rPr>
          <w:rFonts w:ascii="华文中宋" w:hAnsi="华文中宋" w:eastAsia="华文中宋" w:cs="Times New Roman"/>
          <w:b/>
          <w:sz w:val="52"/>
          <w:szCs w:val="52"/>
        </w:rPr>
      </w:pPr>
    </w:p>
    <w:p>
      <w:pPr>
        <w:jc w:val="center"/>
        <w:rPr>
          <w:rFonts w:ascii="Times New Roman" w:hAnsi="Times New Roman" w:cs="Times New Roman"/>
          <w:b/>
          <w:sz w:val="32"/>
          <w:szCs w:val="32"/>
        </w:rPr>
      </w:pPr>
      <w:r>
        <w:rPr>
          <w:rFonts w:hint="eastAsia" w:ascii="Times New Roman" w:hAnsi="Times New Roman" w:cs="Times New Roman"/>
          <w:b/>
          <w:sz w:val="32"/>
          <w:szCs w:val="32"/>
        </w:rPr>
        <w:t>闽侯县工业和信息化局</w:t>
      </w:r>
    </w:p>
    <w:p>
      <w:pPr>
        <w:jc w:val="center"/>
        <w:rPr>
          <w:rFonts w:ascii="Times New Roman" w:hAnsi="Times New Roman" w:cs="Times New Roman"/>
          <w:b/>
          <w:sz w:val="32"/>
          <w:szCs w:val="28"/>
        </w:rPr>
      </w:pPr>
      <w:r>
        <w:rPr>
          <w:rFonts w:ascii="Times New Roman" w:hAnsi="Times New Roman" w:cs="Times New Roman"/>
          <w:b/>
          <w:sz w:val="32"/>
          <w:szCs w:val="28"/>
        </w:rPr>
        <w:t>202</w:t>
      </w:r>
      <w:r>
        <w:rPr>
          <w:rFonts w:hint="eastAsia" w:ascii="Times New Roman" w:hAnsi="Times New Roman" w:cs="Times New Roman"/>
          <w:b/>
          <w:sz w:val="32"/>
          <w:szCs w:val="28"/>
          <w:lang w:val="en-US" w:eastAsia="zh-CN"/>
        </w:rPr>
        <w:t>2</w:t>
      </w:r>
      <w:r>
        <w:rPr>
          <w:rFonts w:ascii="Times New Roman" w:hAnsi="Times New Roman" w:cs="Times New Roman"/>
          <w:b/>
          <w:sz w:val="32"/>
          <w:szCs w:val="28"/>
        </w:rPr>
        <w:t>年1月</w:t>
      </w:r>
    </w:p>
    <w:p>
      <w:pPr>
        <w:widowControl/>
        <w:jc w:val="both"/>
        <w:rPr>
          <w:rFonts w:hint="eastAsia" w:ascii="仿宋" w:hAnsi="仿宋" w:eastAsia="仿宋"/>
          <w:b/>
          <w:sz w:val="36"/>
          <w:lang w:eastAsia="zh-CN"/>
        </w:rPr>
      </w:pPr>
    </w:p>
    <w:p>
      <w:pPr>
        <w:widowControl/>
        <w:jc w:val="center"/>
        <w:rPr>
          <w:rFonts w:hint="eastAsia" w:ascii="仿宋" w:hAnsi="仿宋" w:eastAsia="仿宋"/>
          <w:b/>
          <w:sz w:val="36"/>
          <w:lang w:eastAsia="zh-CN"/>
        </w:rPr>
      </w:pPr>
    </w:p>
    <w:p>
      <w:pPr>
        <w:widowControl/>
        <w:jc w:val="center"/>
        <w:rPr>
          <w:rFonts w:ascii="仿宋" w:hAnsi="仿宋"/>
          <w:b/>
        </w:rPr>
      </w:pPr>
      <w:r>
        <w:rPr>
          <w:rFonts w:hint="eastAsia" w:ascii="仿宋" w:hAnsi="仿宋"/>
          <w:b/>
          <w:sz w:val="36"/>
        </w:rPr>
        <w:t>前言</w:t>
      </w:r>
    </w:p>
    <w:p>
      <w:pPr>
        <w:adjustRightInd w:val="0"/>
        <w:snapToGrid w:val="0"/>
        <w:spacing w:before="156" w:beforeLines="50" w:after="156" w:afterLines="50" w:line="360" w:lineRule="auto"/>
        <w:ind w:firstLine="560" w:firstLineChars="200"/>
        <w:rPr>
          <w:rFonts w:ascii="仿宋" w:hAnsi="仿宋" w:cs="Times New Roman"/>
          <w:color w:val="000000"/>
          <w:sz w:val="28"/>
          <w:szCs w:val="32"/>
        </w:rPr>
      </w:pPr>
      <w:r>
        <w:rPr>
          <w:rFonts w:hint="eastAsia" w:ascii="仿宋" w:hAnsi="仿宋" w:cs="Times New Roman"/>
          <w:color w:val="000000"/>
          <w:sz w:val="28"/>
          <w:szCs w:val="32"/>
        </w:rPr>
        <w:t>当前，闽侯县工业和信息化发展机遇与挑战并存，转型升级需求迫切，如何有效顺应当前经济发展新形势，梳理闽侯县产业未来发展重点及细分领域，确定“十四五”期间全县工业和信息化领域发展定位及目标，并明确具体发展思路，将是闽侯县工业和信息化未来5年实现健康可持续发展的关键，同时也是本规划内容之核心所在。</w:t>
      </w:r>
    </w:p>
    <w:p>
      <w:pPr>
        <w:adjustRightInd w:val="0"/>
        <w:snapToGrid w:val="0"/>
        <w:spacing w:before="156" w:beforeLines="50" w:after="156" w:afterLines="50" w:line="360" w:lineRule="auto"/>
        <w:ind w:firstLine="560" w:firstLineChars="200"/>
        <w:rPr>
          <w:rFonts w:ascii="Times New Roman" w:hAnsi="Times New Roman" w:cs="Times New Roman"/>
          <w:color w:val="000000"/>
          <w:sz w:val="28"/>
          <w:szCs w:val="32"/>
        </w:rPr>
      </w:pPr>
      <w:r>
        <w:rPr>
          <w:rFonts w:hint="eastAsia" w:ascii="仿宋" w:hAnsi="仿宋" w:cs="Times New Roman"/>
          <w:color w:val="000000"/>
          <w:sz w:val="28"/>
          <w:szCs w:val="32"/>
        </w:rPr>
        <w:t>本规划聚焦闽侯县工业和信息化领域，通过深入研究分析国内工业经济形势的新发展、新变化，基于对闽侯县工业和信息化发展现状与问题的充分调研，并结合当前省市发展的新举措，研讨闽侯县工业和信息化发展的总体方向及总体目标，以新的发展理念推动产业加速发展，着力解决闽侯县目前工业和信息化发展面临的重点产业不明确、发展思路不清晰等难题。根据规划，</w:t>
      </w:r>
      <w:r>
        <w:rPr>
          <w:rFonts w:ascii="Times New Roman" w:hAnsi="Times New Roman" w:cs="Times New Roman"/>
          <w:color w:val="000000"/>
          <w:sz w:val="28"/>
          <w:szCs w:val="32"/>
        </w:rPr>
        <w:t>在</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十四五</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时期，闽侯县必须牢牢把握国内经济发展的趋势和特点，积极适应当前数字经济下开放、共享、创新的新特点和新需求，围绕传统产业的转型升级和新兴产业的培育壮大两条主线，一方面积极推动传统优势企业和产业转型，支持企业利用新一代信息技术和创新思维推进企业生产方式、管理方式、营销方式等的变革，进一步推动数字化</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智能化建设向经济社会各领域的加速渗透，促进工业经济提质增效；另一方面，加快创新创业体系建设，以新技术、新产品、新模式为突破点，</w:t>
      </w:r>
      <w:r>
        <w:rPr>
          <w:rFonts w:hint="eastAsia" w:ascii="Times New Roman" w:hAnsi="Times New Roman" w:cs="Times New Roman"/>
          <w:color w:val="000000"/>
          <w:sz w:val="28"/>
          <w:szCs w:val="32"/>
        </w:rPr>
        <w:t>进一步强化和</w:t>
      </w:r>
      <w:r>
        <w:rPr>
          <w:rFonts w:ascii="Times New Roman" w:hAnsi="Times New Roman" w:cs="Times New Roman"/>
          <w:color w:val="000000"/>
          <w:sz w:val="28"/>
          <w:szCs w:val="32"/>
        </w:rPr>
        <w:t>完善支持本地企业发展壮大的政策措施，培育壮大原创新兴产业，打造全省战略性新兴产业创新发展高地。</w:t>
      </w:r>
    </w:p>
    <w:p>
      <w:pPr>
        <w:adjustRightInd w:val="0"/>
        <w:snapToGrid w:val="0"/>
        <w:spacing w:before="156" w:beforeLines="50" w:after="156" w:afterLines="50" w:line="360" w:lineRule="auto"/>
        <w:ind w:firstLine="560" w:firstLineChars="200"/>
        <w:rPr>
          <w:rFonts w:ascii="仿宋" w:hAnsi="仿宋" w:cs="Times New Roman"/>
          <w:color w:val="000000"/>
          <w:sz w:val="28"/>
          <w:szCs w:val="32"/>
        </w:rPr>
      </w:pPr>
    </w:p>
    <w:p>
      <w:pPr>
        <w:widowControl/>
        <w:jc w:val="left"/>
        <w:rPr>
          <w:rFonts w:ascii="Times New Roman" w:hAnsi="Times New Roman" w:cs="Times New Roman"/>
          <w:b/>
          <w:sz w:val="32"/>
          <w:szCs w:val="28"/>
        </w:rPr>
      </w:pPr>
    </w:p>
    <w:sdt>
      <w:sdtPr>
        <w:rPr>
          <w:rFonts w:ascii="Times New Roman" w:hAnsi="Times New Roman" w:eastAsia="仿宋" w:cs="Times New Roman"/>
          <w:color w:val="auto"/>
          <w:kern w:val="2"/>
          <w:sz w:val="21"/>
          <w:szCs w:val="22"/>
          <w:lang w:val="zh-CN"/>
        </w:rPr>
        <w:id w:val="-2118744124"/>
        <w:docPartObj>
          <w:docPartGallery w:val="Table of Contents"/>
          <w:docPartUnique/>
        </w:docPartObj>
      </w:sdtPr>
      <w:sdtEndPr>
        <w:rPr>
          <w:rFonts w:ascii="仿宋" w:hAnsi="仿宋" w:eastAsia="仿宋" w:cs="Times New Roman"/>
          <w:bCs/>
          <w:color w:val="auto"/>
          <w:kern w:val="2"/>
          <w:sz w:val="21"/>
          <w:szCs w:val="22"/>
          <w:lang w:val="zh-CN"/>
        </w:rPr>
      </w:sdtEndPr>
      <w:sdtContent>
        <w:p>
          <w:pPr>
            <w:pStyle w:val="40"/>
            <w:jc w:val="center"/>
            <w:rPr>
              <w:rFonts w:ascii="Times New Roman" w:hAnsi="Times New Roman" w:eastAsia="仿宋" w:cs="Times New Roman"/>
              <w:b/>
              <w:color w:val="auto"/>
            </w:rPr>
          </w:pPr>
          <w:r>
            <w:rPr>
              <w:rFonts w:ascii="Times New Roman" w:hAnsi="Times New Roman" w:eastAsia="仿宋" w:cs="Times New Roman"/>
              <w:b/>
              <w:color w:val="auto"/>
              <w:lang w:val="zh-CN"/>
            </w:rPr>
            <w:t>目录</w:t>
          </w:r>
        </w:p>
        <w:p>
          <w:pPr>
            <w:pStyle w:val="17"/>
            <w:rPr>
              <w:b w:val="0"/>
            </w:rPr>
          </w:pPr>
          <w:r>
            <w:rPr>
              <w:b w:val="0"/>
            </w:rPr>
            <w:t>前言</w:t>
          </w:r>
        </w:p>
        <w:p>
          <w:pPr>
            <w:pStyle w:val="17"/>
            <w:rPr>
              <w:b w:val="0"/>
              <w:lang w:val="en-US"/>
            </w:rPr>
          </w:pPr>
          <w:r>
            <w:rPr>
              <w:b w:val="0"/>
              <w:bCs/>
              <w:szCs w:val="24"/>
            </w:rPr>
            <w:fldChar w:fldCharType="begin"/>
          </w:r>
          <w:r>
            <w:rPr>
              <w:b w:val="0"/>
              <w:bCs/>
              <w:szCs w:val="24"/>
            </w:rPr>
            <w:instrText xml:space="preserve"> TOC \o "1-5" \h \z \u </w:instrText>
          </w:r>
          <w:r>
            <w:rPr>
              <w:b w:val="0"/>
              <w:bCs/>
              <w:szCs w:val="24"/>
            </w:rPr>
            <w:fldChar w:fldCharType="separate"/>
          </w:r>
          <w:r>
            <w:fldChar w:fldCharType="begin"/>
          </w:r>
          <w:r>
            <w:instrText xml:space="preserve"> HYPERLINK \l "_Toc91669959" </w:instrText>
          </w:r>
          <w:r>
            <w:fldChar w:fldCharType="separate"/>
          </w:r>
          <w:r>
            <w:rPr>
              <w:rStyle w:val="28"/>
              <w:rFonts w:hint="eastAsia" w:cs="Times New Roman"/>
              <w:b w:val="0"/>
              <w:bCs/>
              <w:kern w:val="44"/>
            </w:rPr>
            <w:t>第一章</w:t>
          </w:r>
          <w:r>
            <w:rPr>
              <w:rStyle w:val="28"/>
              <w:rFonts w:cs="Times New Roman"/>
              <w:b w:val="0"/>
              <w:bCs/>
              <w:kern w:val="44"/>
            </w:rPr>
            <w:t xml:space="preserve"> </w:t>
          </w:r>
          <w:r>
            <w:rPr>
              <w:rStyle w:val="28"/>
              <w:rFonts w:hint="eastAsia" w:cs="Times New Roman"/>
              <w:b w:val="0"/>
              <w:bCs/>
              <w:kern w:val="44"/>
            </w:rPr>
            <w:t>发展基础和形势</w:t>
          </w:r>
          <w:r>
            <w:rPr>
              <w:b w:val="0"/>
            </w:rPr>
            <w:tab/>
          </w:r>
          <w:r>
            <w:rPr>
              <w:b w:val="0"/>
            </w:rPr>
            <w:fldChar w:fldCharType="begin"/>
          </w:r>
          <w:r>
            <w:rPr>
              <w:b w:val="0"/>
            </w:rPr>
            <w:instrText xml:space="preserve"> PAGEREF _Toc91669959 \h </w:instrText>
          </w:r>
          <w:r>
            <w:rPr>
              <w:b w:val="0"/>
            </w:rPr>
            <w:fldChar w:fldCharType="separate"/>
          </w:r>
          <w:r>
            <w:rPr>
              <w:b w:val="0"/>
            </w:rPr>
            <w:t>1</w:t>
          </w:r>
          <w:r>
            <w:rPr>
              <w:b w:val="0"/>
            </w:rPr>
            <w:fldChar w:fldCharType="end"/>
          </w:r>
          <w:r>
            <w:rPr>
              <w:b w:val="0"/>
            </w:rPr>
            <w:fldChar w:fldCharType="end"/>
          </w:r>
        </w:p>
        <w:p>
          <w:pPr>
            <w:pStyle w:val="21"/>
            <w:rPr>
              <w:rFonts w:ascii="仿宋" w:hAnsi="仿宋"/>
            </w:rPr>
          </w:pPr>
          <w:r>
            <w:fldChar w:fldCharType="begin"/>
          </w:r>
          <w:r>
            <w:instrText xml:space="preserve"> HYPERLINK \l "_Toc91669960" </w:instrText>
          </w:r>
          <w:r>
            <w:fldChar w:fldCharType="separate"/>
          </w:r>
          <w:r>
            <w:rPr>
              <w:rStyle w:val="28"/>
              <w:rFonts w:hint="eastAsia" w:ascii="仿宋" w:hAnsi="仿宋" w:cs="Times New Roman"/>
              <w:bCs/>
            </w:rPr>
            <w:t>一、发展基础</w:t>
          </w:r>
          <w:r>
            <w:rPr>
              <w:rFonts w:ascii="仿宋" w:hAnsi="仿宋"/>
            </w:rPr>
            <w:tab/>
          </w:r>
          <w:r>
            <w:rPr>
              <w:rFonts w:ascii="仿宋" w:hAnsi="仿宋"/>
            </w:rPr>
            <w:fldChar w:fldCharType="begin"/>
          </w:r>
          <w:r>
            <w:rPr>
              <w:rFonts w:ascii="仿宋" w:hAnsi="仿宋"/>
            </w:rPr>
            <w:instrText xml:space="preserve"> PAGEREF _Toc91669960 \h </w:instrText>
          </w:r>
          <w:r>
            <w:rPr>
              <w:rFonts w:ascii="仿宋" w:hAnsi="仿宋"/>
            </w:rPr>
            <w:fldChar w:fldCharType="separate"/>
          </w:r>
          <w:r>
            <w:rPr>
              <w:rFonts w:ascii="仿宋" w:hAnsi="仿宋"/>
            </w:rPr>
            <w:t>1</w:t>
          </w:r>
          <w:r>
            <w:rPr>
              <w:rFonts w:ascii="仿宋" w:hAnsi="仿宋"/>
            </w:rPr>
            <w:fldChar w:fldCharType="end"/>
          </w:r>
          <w:r>
            <w:rPr>
              <w:rFonts w:ascii="仿宋" w:hAnsi="仿宋"/>
            </w:rPr>
            <w:fldChar w:fldCharType="end"/>
          </w:r>
        </w:p>
        <w:p>
          <w:pPr>
            <w:pStyle w:val="21"/>
            <w:rPr>
              <w:rFonts w:ascii="仿宋" w:hAnsi="仿宋"/>
            </w:rPr>
          </w:pPr>
          <w:r>
            <w:fldChar w:fldCharType="begin"/>
          </w:r>
          <w:r>
            <w:instrText xml:space="preserve"> HYPERLINK \l "_Toc91669961" </w:instrText>
          </w:r>
          <w:r>
            <w:fldChar w:fldCharType="separate"/>
          </w:r>
          <w:r>
            <w:rPr>
              <w:rStyle w:val="28"/>
              <w:rFonts w:hint="eastAsia" w:ascii="仿宋" w:hAnsi="仿宋" w:cs="Times New Roman"/>
              <w:bCs/>
            </w:rPr>
            <w:t>二、发展形势</w:t>
          </w:r>
          <w:r>
            <w:rPr>
              <w:rFonts w:ascii="仿宋" w:hAnsi="仿宋"/>
            </w:rPr>
            <w:tab/>
          </w:r>
          <w:r>
            <w:rPr>
              <w:rFonts w:ascii="仿宋" w:hAnsi="仿宋"/>
            </w:rPr>
            <w:fldChar w:fldCharType="begin"/>
          </w:r>
          <w:r>
            <w:rPr>
              <w:rFonts w:ascii="仿宋" w:hAnsi="仿宋"/>
            </w:rPr>
            <w:instrText xml:space="preserve"> PAGEREF _Toc91669961 \h </w:instrText>
          </w:r>
          <w:r>
            <w:rPr>
              <w:rFonts w:ascii="仿宋" w:hAnsi="仿宋"/>
            </w:rPr>
            <w:fldChar w:fldCharType="separate"/>
          </w:r>
          <w:r>
            <w:rPr>
              <w:rFonts w:ascii="仿宋" w:hAnsi="仿宋"/>
            </w:rPr>
            <w:t>4</w:t>
          </w:r>
          <w:r>
            <w:rPr>
              <w:rFonts w:ascii="仿宋" w:hAnsi="仿宋"/>
            </w:rPr>
            <w:fldChar w:fldCharType="end"/>
          </w:r>
          <w:r>
            <w:rPr>
              <w:rFonts w:ascii="仿宋" w:hAnsi="仿宋"/>
            </w:rPr>
            <w:fldChar w:fldCharType="end"/>
          </w:r>
        </w:p>
        <w:p>
          <w:pPr>
            <w:pStyle w:val="11"/>
            <w:rPr>
              <w:rFonts w:ascii="仿宋" w:hAnsi="仿宋"/>
            </w:rPr>
          </w:pPr>
          <w:r>
            <w:fldChar w:fldCharType="begin"/>
          </w:r>
          <w:r>
            <w:instrText xml:space="preserve"> HYPERLINK \l "_Toc91669962" </w:instrText>
          </w:r>
          <w:r>
            <w:fldChar w:fldCharType="separate"/>
          </w:r>
          <w:r>
            <w:rPr>
              <w:rStyle w:val="28"/>
              <w:rFonts w:hint="eastAsia" w:ascii="仿宋" w:hAnsi="仿宋" w:cs="Times New Roman"/>
              <w:bCs/>
            </w:rPr>
            <w:t>（一）国际形势</w:t>
          </w:r>
          <w:r>
            <w:rPr>
              <w:rFonts w:ascii="仿宋" w:hAnsi="仿宋"/>
            </w:rPr>
            <w:tab/>
          </w:r>
          <w:r>
            <w:rPr>
              <w:rFonts w:ascii="仿宋" w:hAnsi="仿宋"/>
            </w:rPr>
            <w:fldChar w:fldCharType="begin"/>
          </w:r>
          <w:r>
            <w:rPr>
              <w:rFonts w:ascii="仿宋" w:hAnsi="仿宋"/>
            </w:rPr>
            <w:instrText xml:space="preserve"> PAGEREF _Toc91669962 \h </w:instrText>
          </w:r>
          <w:r>
            <w:rPr>
              <w:rFonts w:ascii="仿宋" w:hAnsi="仿宋"/>
            </w:rPr>
            <w:fldChar w:fldCharType="separate"/>
          </w:r>
          <w:r>
            <w:rPr>
              <w:rFonts w:ascii="仿宋" w:hAnsi="仿宋"/>
            </w:rPr>
            <w:t>4</w:t>
          </w:r>
          <w:r>
            <w:rPr>
              <w:rFonts w:ascii="仿宋" w:hAnsi="仿宋"/>
            </w:rPr>
            <w:fldChar w:fldCharType="end"/>
          </w:r>
          <w:r>
            <w:rPr>
              <w:rFonts w:ascii="仿宋" w:hAnsi="仿宋"/>
            </w:rPr>
            <w:fldChar w:fldCharType="end"/>
          </w:r>
        </w:p>
        <w:p>
          <w:pPr>
            <w:pStyle w:val="11"/>
            <w:rPr>
              <w:rFonts w:ascii="仿宋" w:hAnsi="仿宋"/>
            </w:rPr>
          </w:pPr>
          <w:r>
            <w:fldChar w:fldCharType="begin"/>
          </w:r>
          <w:r>
            <w:instrText xml:space="preserve"> HYPERLINK \l "_Toc91669963" </w:instrText>
          </w:r>
          <w:r>
            <w:fldChar w:fldCharType="separate"/>
          </w:r>
          <w:r>
            <w:rPr>
              <w:rStyle w:val="28"/>
              <w:rFonts w:hint="eastAsia" w:ascii="仿宋" w:hAnsi="仿宋" w:cs="Times New Roman"/>
              <w:bCs/>
            </w:rPr>
            <w:t>（二）国内形势</w:t>
          </w:r>
          <w:r>
            <w:rPr>
              <w:rFonts w:ascii="仿宋" w:hAnsi="仿宋"/>
            </w:rPr>
            <w:tab/>
          </w:r>
          <w:r>
            <w:rPr>
              <w:rFonts w:ascii="仿宋" w:hAnsi="仿宋"/>
            </w:rPr>
            <w:fldChar w:fldCharType="begin"/>
          </w:r>
          <w:r>
            <w:rPr>
              <w:rFonts w:ascii="仿宋" w:hAnsi="仿宋"/>
            </w:rPr>
            <w:instrText xml:space="preserve"> PAGEREF _Toc91669963 \h </w:instrText>
          </w:r>
          <w:r>
            <w:rPr>
              <w:rFonts w:ascii="仿宋" w:hAnsi="仿宋"/>
            </w:rPr>
            <w:fldChar w:fldCharType="separate"/>
          </w:r>
          <w:r>
            <w:rPr>
              <w:rFonts w:ascii="仿宋" w:hAnsi="仿宋"/>
            </w:rPr>
            <w:t>4</w:t>
          </w:r>
          <w:r>
            <w:rPr>
              <w:rFonts w:ascii="仿宋" w:hAnsi="仿宋"/>
            </w:rPr>
            <w:fldChar w:fldCharType="end"/>
          </w:r>
          <w:r>
            <w:rPr>
              <w:rFonts w:ascii="仿宋" w:hAnsi="仿宋"/>
            </w:rPr>
            <w:fldChar w:fldCharType="end"/>
          </w:r>
        </w:p>
        <w:p>
          <w:pPr>
            <w:pStyle w:val="21"/>
            <w:rPr>
              <w:rFonts w:ascii="仿宋" w:hAnsi="仿宋"/>
            </w:rPr>
          </w:pPr>
          <w:r>
            <w:fldChar w:fldCharType="begin"/>
          </w:r>
          <w:r>
            <w:instrText xml:space="preserve"> HYPERLINK \l "_Toc91669964" </w:instrText>
          </w:r>
          <w:r>
            <w:fldChar w:fldCharType="separate"/>
          </w:r>
          <w:r>
            <w:rPr>
              <w:rStyle w:val="28"/>
              <w:rFonts w:hint="eastAsia" w:ascii="仿宋" w:hAnsi="仿宋" w:cs="Times New Roman"/>
              <w:bCs/>
            </w:rPr>
            <w:t>三、存在问题</w:t>
          </w:r>
          <w:r>
            <w:rPr>
              <w:rFonts w:ascii="仿宋" w:hAnsi="仿宋"/>
            </w:rPr>
            <w:tab/>
          </w:r>
          <w:r>
            <w:rPr>
              <w:rFonts w:ascii="仿宋" w:hAnsi="仿宋"/>
            </w:rPr>
            <w:fldChar w:fldCharType="begin"/>
          </w:r>
          <w:r>
            <w:rPr>
              <w:rFonts w:ascii="仿宋" w:hAnsi="仿宋"/>
            </w:rPr>
            <w:instrText xml:space="preserve"> PAGEREF _Toc91669964 \h </w:instrText>
          </w:r>
          <w:r>
            <w:rPr>
              <w:rFonts w:ascii="仿宋" w:hAnsi="仿宋"/>
            </w:rPr>
            <w:fldChar w:fldCharType="separate"/>
          </w:r>
          <w:r>
            <w:rPr>
              <w:rFonts w:ascii="仿宋" w:hAnsi="仿宋"/>
            </w:rPr>
            <w:t>5</w:t>
          </w:r>
          <w:r>
            <w:rPr>
              <w:rFonts w:ascii="仿宋" w:hAnsi="仿宋"/>
            </w:rPr>
            <w:fldChar w:fldCharType="end"/>
          </w:r>
          <w:r>
            <w:rPr>
              <w:rFonts w:ascii="仿宋" w:hAnsi="仿宋"/>
            </w:rPr>
            <w:fldChar w:fldCharType="end"/>
          </w:r>
        </w:p>
        <w:p>
          <w:pPr>
            <w:pStyle w:val="17"/>
            <w:rPr>
              <w:b w:val="0"/>
              <w:lang w:val="en-US"/>
            </w:rPr>
          </w:pPr>
          <w:r>
            <w:fldChar w:fldCharType="begin"/>
          </w:r>
          <w:r>
            <w:instrText xml:space="preserve"> HYPERLINK \l "_Toc91669965" </w:instrText>
          </w:r>
          <w:r>
            <w:fldChar w:fldCharType="separate"/>
          </w:r>
          <w:r>
            <w:rPr>
              <w:rStyle w:val="28"/>
              <w:rFonts w:hint="eastAsia" w:cs="Times New Roman"/>
              <w:b w:val="0"/>
              <w:bCs/>
              <w:kern w:val="44"/>
            </w:rPr>
            <w:t>第二章</w:t>
          </w:r>
          <w:r>
            <w:rPr>
              <w:rStyle w:val="28"/>
              <w:rFonts w:cs="Times New Roman"/>
              <w:b w:val="0"/>
              <w:bCs/>
              <w:kern w:val="44"/>
            </w:rPr>
            <w:t xml:space="preserve"> </w:t>
          </w:r>
          <w:r>
            <w:rPr>
              <w:rStyle w:val="28"/>
              <w:rFonts w:hint="eastAsia" w:cs="Times New Roman"/>
              <w:b w:val="0"/>
              <w:bCs/>
              <w:kern w:val="44"/>
            </w:rPr>
            <w:t>指导思想和发展目标</w:t>
          </w:r>
          <w:r>
            <w:rPr>
              <w:b w:val="0"/>
            </w:rPr>
            <w:tab/>
          </w:r>
          <w:r>
            <w:rPr>
              <w:b w:val="0"/>
            </w:rPr>
            <w:fldChar w:fldCharType="begin"/>
          </w:r>
          <w:r>
            <w:rPr>
              <w:b w:val="0"/>
            </w:rPr>
            <w:instrText xml:space="preserve"> PAGEREF _Toc91669965 \h </w:instrText>
          </w:r>
          <w:r>
            <w:rPr>
              <w:b w:val="0"/>
            </w:rPr>
            <w:fldChar w:fldCharType="separate"/>
          </w:r>
          <w:r>
            <w:rPr>
              <w:b w:val="0"/>
            </w:rPr>
            <w:t>7</w:t>
          </w:r>
          <w:r>
            <w:rPr>
              <w:b w:val="0"/>
            </w:rPr>
            <w:fldChar w:fldCharType="end"/>
          </w:r>
          <w:r>
            <w:rPr>
              <w:b w:val="0"/>
            </w:rPr>
            <w:fldChar w:fldCharType="end"/>
          </w:r>
        </w:p>
        <w:p>
          <w:pPr>
            <w:pStyle w:val="21"/>
            <w:rPr>
              <w:rFonts w:ascii="仿宋" w:hAnsi="仿宋"/>
            </w:rPr>
          </w:pPr>
          <w:r>
            <w:fldChar w:fldCharType="begin"/>
          </w:r>
          <w:r>
            <w:instrText xml:space="preserve"> HYPERLINK \l "_Toc91669966" </w:instrText>
          </w:r>
          <w:r>
            <w:fldChar w:fldCharType="separate"/>
          </w:r>
          <w:r>
            <w:rPr>
              <w:rStyle w:val="28"/>
              <w:rFonts w:hint="eastAsia" w:ascii="仿宋" w:hAnsi="仿宋" w:cs="Times New Roman"/>
              <w:bCs/>
            </w:rPr>
            <w:t>一、指导思想</w:t>
          </w:r>
          <w:r>
            <w:rPr>
              <w:rFonts w:ascii="仿宋" w:hAnsi="仿宋"/>
            </w:rPr>
            <w:tab/>
          </w:r>
          <w:r>
            <w:rPr>
              <w:rFonts w:ascii="仿宋" w:hAnsi="仿宋"/>
            </w:rPr>
            <w:fldChar w:fldCharType="begin"/>
          </w:r>
          <w:r>
            <w:rPr>
              <w:rFonts w:ascii="仿宋" w:hAnsi="仿宋"/>
            </w:rPr>
            <w:instrText xml:space="preserve"> PAGEREF _Toc91669966 \h </w:instrText>
          </w:r>
          <w:r>
            <w:rPr>
              <w:rFonts w:ascii="仿宋" w:hAnsi="仿宋"/>
            </w:rPr>
            <w:fldChar w:fldCharType="separate"/>
          </w:r>
          <w:r>
            <w:rPr>
              <w:rFonts w:ascii="仿宋" w:hAnsi="仿宋"/>
            </w:rPr>
            <w:t>7</w:t>
          </w:r>
          <w:r>
            <w:rPr>
              <w:rFonts w:ascii="仿宋" w:hAnsi="仿宋"/>
            </w:rPr>
            <w:fldChar w:fldCharType="end"/>
          </w:r>
          <w:r>
            <w:rPr>
              <w:rFonts w:ascii="仿宋" w:hAnsi="仿宋"/>
            </w:rPr>
            <w:fldChar w:fldCharType="end"/>
          </w:r>
        </w:p>
        <w:p>
          <w:pPr>
            <w:pStyle w:val="21"/>
            <w:rPr>
              <w:rFonts w:ascii="仿宋" w:hAnsi="仿宋"/>
            </w:rPr>
          </w:pPr>
          <w:r>
            <w:fldChar w:fldCharType="begin"/>
          </w:r>
          <w:r>
            <w:instrText xml:space="preserve"> HYPERLINK \l "_Toc91669967" </w:instrText>
          </w:r>
          <w:r>
            <w:fldChar w:fldCharType="separate"/>
          </w:r>
          <w:r>
            <w:rPr>
              <w:rStyle w:val="28"/>
              <w:rFonts w:hint="eastAsia" w:ascii="仿宋" w:hAnsi="仿宋" w:cs="Times New Roman"/>
              <w:bCs/>
            </w:rPr>
            <w:t>二、总体原则</w:t>
          </w:r>
          <w:r>
            <w:rPr>
              <w:rFonts w:ascii="仿宋" w:hAnsi="仿宋"/>
            </w:rPr>
            <w:tab/>
          </w:r>
          <w:r>
            <w:rPr>
              <w:rFonts w:ascii="仿宋" w:hAnsi="仿宋"/>
            </w:rPr>
            <w:fldChar w:fldCharType="begin"/>
          </w:r>
          <w:r>
            <w:rPr>
              <w:rFonts w:ascii="仿宋" w:hAnsi="仿宋"/>
            </w:rPr>
            <w:instrText xml:space="preserve"> PAGEREF _Toc91669967 \h </w:instrText>
          </w:r>
          <w:r>
            <w:rPr>
              <w:rFonts w:ascii="仿宋" w:hAnsi="仿宋"/>
            </w:rPr>
            <w:fldChar w:fldCharType="separate"/>
          </w:r>
          <w:r>
            <w:rPr>
              <w:rFonts w:ascii="仿宋" w:hAnsi="仿宋"/>
            </w:rPr>
            <w:t>7</w:t>
          </w:r>
          <w:r>
            <w:rPr>
              <w:rFonts w:ascii="仿宋" w:hAnsi="仿宋"/>
            </w:rPr>
            <w:fldChar w:fldCharType="end"/>
          </w:r>
          <w:r>
            <w:rPr>
              <w:rFonts w:ascii="仿宋" w:hAnsi="仿宋"/>
            </w:rPr>
            <w:fldChar w:fldCharType="end"/>
          </w:r>
        </w:p>
        <w:p>
          <w:pPr>
            <w:pStyle w:val="21"/>
            <w:rPr>
              <w:rFonts w:ascii="仿宋" w:hAnsi="仿宋"/>
            </w:rPr>
          </w:pPr>
          <w:r>
            <w:fldChar w:fldCharType="begin"/>
          </w:r>
          <w:r>
            <w:instrText xml:space="preserve"> HYPERLINK \l "_Toc91669968" </w:instrText>
          </w:r>
          <w:r>
            <w:fldChar w:fldCharType="separate"/>
          </w:r>
          <w:r>
            <w:rPr>
              <w:rStyle w:val="28"/>
              <w:rFonts w:hint="eastAsia" w:ascii="仿宋" w:hAnsi="仿宋" w:cs="Times New Roman"/>
              <w:bCs/>
            </w:rPr>
            <w:t>三、总体战略</w:t>
          </w:r>
          <w:r>
            <w:rPr>
              <w:rFonts w:ascii="仿宋" w:hAnsi="仿宋"/>
            </w:rPr>
            <w:tab/>
          </w:r>
          <w:r>
            <w:rPr>
              <w:rFonts w:ascii="仿宋" w:hAnsi="仿宋"/>
            </w:rPr>
            <w:fldChar w:fldCharType="begin"/>
          </w:r>
          <w:r>
            <w:rPr>
              <w:rFonts w:ascii="仿宋" w:hAnsi="仿宋"/>
            </w:rPr>
            <w:instrText xml:space="preserve"> PAGEREF _Toc91669968 \h </w:instrText>
          </w:r>
          <w:r>
            <w:rPr>
              <w:rFonts w:ascii="仿宋" w:hAnsi="仿宋"/>
            </w:rPr>
            <w:fldChar w:fldCharType="separate"/>
          </w:r>
          <w:r>
            <w:rPr>
              <w:rFonts w:ascii="仿宋" w:hAnsi="仿宋"/>
            </w:rPr>
            <w:t>9</w:t>
          </w:r>
          <w:r>
            <w:rPr>
              <w:rFonts w:ascii="仿宋" w:hAnsi="仿宋"/>
            </w:rPr>
            <w:fldChar w:fldCharType="end"/>
          </w:r>
          <w:r>
            <w:rPr>
              <w:rFonts w:ascii="仿宋" w:hAnsi="仿宋"/>
            </w:rPr>
            <w:fldChar w:fldCharType="end"/>
          </w:r>
        </w:p>
        <w:p>
          <w:pPr>
            <w:pStyle w:val="21"/>
            <w:rPr>
              <w:rFonts w:ascii="仿宋" w:hAnsi="仿宋"/>
            </w:rPr>
          </w:pPr>
          <w:r>
            <w:fldChar w:fldCharType="begin"/>
          </w:r>
          <w:r>
            <w:instrText xml:space="preserve"> HYPERLINK \l "_Toc91669969" </w:instrText>
          </w:r>
          <w:r>
            <w:fldChar w:fldCharType="separate"/>
          </w:r>
          <w:r>
            <w:rPr>
              <w:rStyle w:val="28"/>
              <w:rFonts w:hint="eastAsia" w:ascii="仿宋" w:hAnsi="仿宋" w:cs="Times New Roman"/>
              <w:bCs/>
            </w:rPr>
            <w:t>四、发展目标</w:t>
          </w:r>
          <w:r>
            <w:rPr>
              <w:rFonts w:ascii="仿宋" w:hAnsi="仿宋"/>
            </w:rPr>
            <w:tab/>
          </w:r>
          <w:r>
            <w:rPr>
              <w:rFonts w:ascii="仿宋" w:hAnsi="仿宋"/>
            </w:rPr>
            <w:fldChar w:fldCharType="begin"/>
          </w:r>
          <w:r>
            <w:rPr>
              <w:rFonts w:ascii="仿宋" w:hAnsi="仿宋"/>
            </w:rPr>
            <w:instrText xml:space="preserve"> PAGEREF _Toc91669969 \h </w:instrText>
          </w:r>
          <w:r>
            <w:rPr>
              <w:rFonts w:ascii="仿宋" w:hAnsi="仿宋"/>
            </w:rPr>
            <w:fldChar w:fldCharType="separate"/>
          </w:r>
          <w:r>
            <w:rPr>
              <w:rFonts w:ascii="仿宋" w:hAnsi="仿宋"/>
            </w:rPr>
            <w:t>9</w:t>
          </w:r>
          <w:r>
            <w:rPr>
              <w:rFonts w:ascii="仿宋" w:hAnsi="仿宋"/>
            </w:rPr>
            <w:fldChar w:fldCharType="end"/>
          </w:r>
          <w:r>
            <w:rPr>
              <w:rFonts w:ascii="仿宋" w:hAnsi="仿宋"/>
            </w:rPr>
            <w:fldChar w:fldCharType="end"/>
          </w:r>
        </w:p>
        <w:p>
          <w:pPr>
            <w:pStyle w:val="11"/>
            <w:rPr>
              <w:rFonts w:ascii="仿宋" w:hAnsi="仿宋"/>
            </w:rPr>
          </w:pPr>
          <w:r>
            <w:fldChar w:fldCharType="begin"/>
          </w:r>
          <w:r>
            <w:instrText xml:space="preserve"> HYPERLINK \l "_Toc91669970" </w:instrText>
          </w:r>
          <w:r>
            <w:fldChar w:fldCharType="separate"/>
          </w:r>
          <w:r>
            <w:rPr>
              <w:rStyle w:val="28"/>
              <w:rFonts w:hint="eastAsia" w:ascii="仿宋" w:hAnsi="仿宋" w:cs="Times New Roman"/>
              <w:bCs/>
            </w:rPr>
            <w:t>（一）规模壮大</w:t>
          </w:r>
          <w:r>
            <w:rPr>
              <w:rFonts w:ascii="仿宋" w:hAnsi="仿宋"/>
            </w:rPr>
            <w:tab/>
          </w:r>
          <w:r>
            <w:rPr>
              <w:rFonts w:ascii="仿宋" w:hAnsi="仿宋"/>
            </w:rPr>
            <w:fldChar w:fldCharType="begin"/>
          </w:r>
          <w:r>
            <w:rPr>
              <w:rFonts w:ascii="仿宋" w:hAnsi="仿宋"/>
            </w:rPr>
            <w:instrText xml:space="preserve"> PAGEREF _Toc91669970 \h </w:instrText>
          </w:r>
          <w:r>
            <w:rPr>
              <w:rFonts w:ascii="仿宋" w:hAnsi="仿宋"/>
            </w:rPr>
            <w:fldChar w:fldCharType="separate"/>
          </w:r>
          <w:r>
            <w:rPr>
              <w:rFonts w:ascii="仿宋" w:hAnsi="仿宋"/>
            </w:rPr>
            <w:t>10</w:t>
          </w:r>
          <w:r>
            <w:rPr>
              <w:rFonts w:ascii="仿宋" w:hAnsi="仿宋"/>
            </w:rPr>
            <w:fldChar w:fldCharType="end"/>
          </w:r>
          <w:r>
            <w:rPr>
              <w:rFonts w:ascii="仿宋" w:hAnsi="仿宋"/>
            </w:rPr>
            <w:fldChar w:fldCharType="end"/>
          </w:r>
        </w:p>
        <w:p>
          <w:pPr>
            <w:pStyle w:val="11"/>
            <w:rPr>
              <w:rFonts w:ascii="仿宋" w:hAnsi="仿宋"/>
            </w:rPr>
          </w:pPr>
          <w:r>
            <w:fldChar w:fldCharType="begin"/>
          </w:r>
          <w:r>
            <w:instrText xml:space="preserve"> HYPERLINK \l "_Toc91669971" </w:instrText>
          </w:r>
          <w:r>
            <w:fldChar w:fldCharType="separate"/>
          </w:r>
          <w:r>
            <w:rPr>
              <w:rStyle w:val="28"/>
              <w:rFonts w:hint="eastAsia" w:ascii="仿宋" w:hAnsi="仿宋" w:cs="Times New Roman"/>
              <w:bCs/>
            </w:rPr>
            <w:t>（二）创新驱动</w:t>
          </w:r>
          <w:r>
            <w:rPr>
              <w:rFonts w:ascii="仿宋" w:hAnsi="仿宋"/>
            </w:rPr>
            <w:tab/>
          </w:r>
          <w:r>
            <w:rPr>
              <w:rFonts w:ascii="仿宋" w:hAnsi="仿宋"/>
            </w:rPr>
            <w:fldChar w:fldCharType="begin"/>
          </w:r>
          <w:r>
            <w:rPr>
              <w:rFonts w:ascii="仿宋" w:hAnsi="仿宋"/>
            </w:rPr>
            <w:instrText xml:space="preserve"> PAGEREF _Toc91669971 \h </w:instrText>
          </w:r>
          <w:r>
            <w:rPr>
              <w:rFonts w:ascii="仿宋" w:hAnsi="仿宋"/>
            </w:rPr>
            <w:fldChar w:fldCharType="separate"/>
          </w:r>
          <w:r>
            <w:rPr>
              <w:rFonts w:ascii="仿宋" w:hAnsi="仿宋"/>
            </w:rPr>
            <w:t>10</w:t>
          </w:r>
          <w:r>
            <w:rPr>
              <w:rFonts w:ascii="仿宋" w:hAnsi="仿宋"/>
            </w:rPr>
            <w:fldChar w:fldCharType="end"/>
          </w:r>
          <w:r>
            <w:rPr>
              <w:rFonts w:ascii="仿宋" w:hAnsi="仿宋"/>
            </w:rPr>
            <w:fldChar w:fldCharType="end"/>
          </w:r>
        </w:p>
        <w:p>
          <w:pPr>
            <w:pStyle w:val="11"/>
            <w:rPr>
              <w:rFonts w:ascii="仿宋" w:hAnsi="仿宋"/>
            </w:rPr>
          </w:pPr>
          <w:r>
            <w:fldChar w:fldCharType="begin"/>
          </w:r>
          <w:r>
            <w:instrText xml:space="preserve"> HYPERLINK \l "_Toc91669972" </w:instrText>
          </w:r>
          <w:r>
            <w:fldChar w:fldCharType="separate"/>
          </w:r>
          <w:r>
            <w:rPr>
              <w:rStyle w:val="28"/>
              <w:rFonts w:hint="eastAsia" w:ascii="仿宋" w:hAnsi="仿宋" w:cs="Times New Roman"/>
              <w:bCs/>
            </w:rPr>
            <w:t>（三）两化融合</w:t>
          </w:r>
          <w:r>
            <w:rPr>
              <w:rFonts w:ascii="仿宋" w:hAnsi="仿宋"/>
            </w:rPr>
            <w:tab/>
          </w:r>
          <w:r>
            <w:rPr>
              <w:rFonts w:ascii="仿宋" w:hAnsi="仿宋"/>
            </w:rPr>
            <w:fldChar w:fldCharType="begin"/>
          </w:r>
          <w:r>
            <w:rPr>
              <w:rFonts w:ascii="仿宋" w:hAnsi="仿宋"/>
            </w:rPr>
            <w:instrText xml:space="preserve"> PAGEREF _Toc91669972 \h </w:instrText>
          </w:r>
          <w:r>
            <w:rPr>
              <w:rFonts w:ascii="仿宋" w:hAnsi="仿宋"/>
            </w:rPr>
            <w:fldChar w:fldCharType="separate"/>
          </w:r>
          <w:r>
            <w:rPr>
              <w:rFonts w:ascii="仿宋" w:hAnsi="仿宋"/>
            </w:rPr>
            <w:t>10</w:t>
          </w:r>
          <w:r>
            <w:rPr>
              <w:rFonts w:ascii="仿宋" w:hAnsi="仿宋"/>
            </w:rPr>
            <w:fldChar w:fldCharType="end"/>
          </w:r>
          <w:r>
            <w:rPr>
              <w:rFonts w:ascii="仿宋" w:hAnsi="仿宋"/>
            </w:rPr>
            <w:fldChar w:fldCharType="end"/>
          </w:r>
        </w:p>
        <w:p>
          <w:pPr>
            <w:pStyle w:val="11"/>
            <w:rPr>
              <w:rFonts w:ascii="仿宋" w:hAnsi="仿宋"/>
            </w:rPr>
          </w:pPr>
          <w:r>
            <w:fldChar w:fldCharType="begin"/>
          </w:r>
          <w:r>
            <w:instrText xml:space="preserve"> HYPERLINK \l "_Toc91669973" </w:instrText>
          </w:r>
          <w:r>
            <w:fldChar w:fldCharType="separate"/>
          </w:r>
          <w:r>
            <w:rPr>
              <w:rStyle w:val="28"/>
              <w:rFonts w:hint="eastAsia" w:ascii="仿宋" w:hAnsi="仿宋" w:cs="Times New Roman"/>
              <w:bCs/>
            </w:rPr>
            <w:t>（四）绿色发展</w:t>
          </w:r>
          <w:r>
            <w:rPr>
              <w:rFonts w:ascii="仿宋" w:hAnsi="仿宋"/>
            </w:rPr>
            <w:tab/>
          </w:r>
          <w:r>
            <w:rPr>
              <w:rFonts w:ascii="仿宋" w:hAnsi="仿宋"/>
            </w:rPr>
            <w:fldChar w:fldCharType="begin"/>
          </w:r>
          <w:r>
            <w:rPr>
              <w:rFonts w:ascii="仿宋" w:hAnsi="仿宋"/>
            </w:rPr>
            <w:instrText xml:space="preserve"> PAGEREF _Toc91669973 \h </w:instrText>
          </w:r>
          <w:r>
            <w:rPr>
              <w:rFonts w:ascii="仿宋" w:hAnsi="仿宋"/>
            </w:rPr>
            <w:fldChar w:fldCharType="separate"/>
          </w:r>
          <w:r>
            <w:rPr>
              <w:rFonts w:ascii="仿宋" w:hAnsi="仿宋"/>
            </w:rPr>
            <w:t>11</w:t>
          </w:r>
          <w:r>
            <w:rPr>
              <w:rFonts w:ascii="仿宋" w:hAnsi="仿宋"/>
            </w:rPr>
            <w:fldChar w:fldCharType="end"/>
          </w:r>
          <w:r>
            <w:rPr>
              <w:rFonts w:ascii="仿宋" w:hAnsi="仿宋"/>
            </w:rPr>
            <w:fldChar w:fldCharType="end"/>
          </w:r>
        </w:p>
        <w:p>
          <w:pPr>
            <w:pStyle w:val="17"/>
            <w:rPr>
              <w:b w:val="0"/>
              <w:lang w:val="en-US"/>
            </w:rPr>
          </w:pPr>
          <w:r>
            <w:fldChar w:fldCharType="begin"/>
          </w:r>
          <w:r>
            <w:instrText xml:space="preserve"> HYPERLINK \l "_Toc91669974" </w:instrText>
          </w:r>
          <w:r>
            <w:fldChar w:fldCharType="separate"/>
          </w:r>
          <w:r>
            <w:rPr>
              <w:rStyle w:val="28"/>
              <w:rFonts w:hint="eastAsia" w:cs="Times New Roman"/>
              <w:b w:val="0"/>
              <w:bCs/>
              <w:kern w:val="44"/>
            </w:rPr>
            <w:t>第三章</w:t>
          </w:r>
          <w:r>
            <w:rPr>
              <w:rStyle w:val="28"/>
              <w:rFonts w:cs="Times New Roman"/>
              <w:b w:val="0"/>
              <w:bCs/>
              <w:kern w:val="44"/>
            </w:rPr>
            <w:t xml:space="preserve"> </w:t>
          </w:r>
          <w:r>
            <w:rPr>
              <w:rStyle w:val="28"/>
              <w:rFonts w:hint="eastAsia" w:cs="Times New Roman"/>
              <w:b w:val="0"/>
              <w:bCs/>
              <w:kern w:val="44"/>
            </w:rPr>
            <w:t>构建现代工业体系</w:t>
          </w:r>
          <w:r>
            <w:rPr>
              <w:b w:val="0"/>
            </w:rPr>
            <w:tab/>
          </w:r>
          <w:r>
            <w:rPr>
              <w:b w:val="0"/>
            </w:rPr>
            <w:fldChar w:fldCharType="begin"/>
          </w:r>
          <w:r>
            <w:rPr>
              <w:b w:val="0"/>
            </w:rPr>
            <w:instrText xml:space="preserve"> PAGEREF _Toc91669974 \h </w:instrText>
          </w:r>
          <w:r>
            <w:rPr>
              <w:b w:val="0"/>
            </w:rPr>
            <w:fldChar w:fldCharType="separate"/>
          </w:r>
          <w:r>
            <w:rPr>
              <w:b w:val="0"/>
            </w:rPr>
            <w:t>13</w:t>
          </w:r>
          <w:r>
            <w:rPr>
              <w:b w:val="0"/>
            </w:rPr>
            <w:fldChar w:fldCharType="end"/>
          </w:r>
          <w:r>
            <w:rPr>
              <w:b w:val="0"/>
            </w:rPr>
            <w:fldChar w:fldCharType="end"/>
          </w:r>
        </w:p>
        <w:p>
          <w:pPr>
            <w:pStyle w:val="21"/>
            <w:rPr>
              <w:rFonts w:ascii="仿宋" w:hAnsi="仿宋"/>
            </w:rPr>
          </w:pPr>
          <w:r>
            <w:fldChar w:fldCharType="begin"/>
          </w:r>
          <w:r>
            <w:instrText xml:space="preserve"> HYPERLINK \l "_Toc91669975" </w:instrText>
          </w:r>
          <w:r>
            <w:fldChar w:fldCharType="separate"/>
          </w:r>
          <w:r>
            <w:rPr>
              <w:rStyle w:val="28"/>
              <w:rFonts w:hint="eastAsia" w:ascii="仿宋" w:hAnsi="仿宋" w:cs="Times New Roman"/>
              <w:bCs/>
            </w:rPr>
            <w:t>一、做大做强重点产业</w:t>
          </w:r>
          <w:r>
            <w:rPr>
              <w:rFonts w:ascii="仿宋" w:hAnsi="仿宋"/>
            </w:rPr>
            <w:tab/>
          </w:r>
          <w:r>
            <w:rPr>
              <w:rFonts w:ascii="仿宋" w:hAnsi="仿宋"/>
            </w:rPr>
            <w:fldChar w:fldCharType="begin"/>
          </w:r>
          <w:r>
            <w:rPr>
              <w:rFonts w:ascii="仿宋" w:hAnsi="仿宋"/>
            </w:rPr>
            <w:instrText xml:space="preserve"> PAGEREF _Toc91669975 \h </w:instrText>
          </w:r>
          <w:r>
            <w:rPr>
              <w:rFonts w:ascii="仿宋" w:hAnsi="仿宋"/>
            </w:rPr>
            <w:fldChar w:fldCharType="separate"/>
          </w:r>
          <w:r>
            <w:rPr>
              <w:rFonts w:ascii="仿宋" w:hAnsi="仿宋"/>
            </w:rPr>
            <w:t>13</w:t>
          </w:r>
          <w:r>
            <w:rPr>
              <w:rFonts w:ascii="仿宋" w:hAnsi="仿宋"/>
            </w:rPr>
            <w:fldChar w:fldCharType="end"/>
          </w:r>
          <w:r>
            <w:rPr>
              <w:rFonts w:ascii="仿宋" w:hAnsi="仿宋"/>
            </w:rPr>
            <w:fldChar w:fldCharType="end"/>
          </w:r>
        </w:p>
        <w:p>
          <w:pPr>
            <w:pStyle w:val="11"/>
            <w:rPr>
              <w:rFonts w:ascii="仿宋" w:hAnsi="仿宋"/>
            </w:rPr>
          </w:pPr>
          <w:r>
            <w:fldChar w:fldCharType="begin"/>
          </w:r>
          <w:r>
            <w:instrText xml:space="preserve"> HYPERLINK \l "_Toc91669976" </w:instrText>
          </w:r>
          <w:r>
            <w:fldChar w:fldCharType="separate"/>
          </w:r>
          <w:r>
            <w:rPr>
              <w:rStyle w:val="28"/>
              <w:rFonts w:hint="eastAsia" w:ascii="仿宋" w:hAnsi="仿宋" w:cs="Times New Roman"/>
              <w:bCs/>
            </w:rPr>
            <w:t>（一）聚焦智能制造，实现优势制造业转型升级</w:t>
          </w:r>
          <w:r>
            <w:rPr>
              <w:rFonts w:ascii="仿宋" w:hAnsi="仿宋"/>
            </w:rPr>
            <w:tab/>
          </w:r>
          <w:r>
            <w:rPr>
              <w:rFonts w:ascii="仿宋" w:hAnsi="仿宋"/>
            </w:rPr>
            <w:fldChar w:fldCharType="begin"/>
          </w:r>
          <w:r>
            <w:rPr>
              <w:rFonts w:ascii="仿宋" w:hAnsi="仿宋"/>
            </w:rPr>
            <w:instrText xml:space="preserve"> PAGEREF _Toc91669976 \h </w:instrText>
          </w:r>
          <w:r>
            <w:rPr>
              <w:rFonts w:ascii="仿宋" w:hAnsi="仿宋"/>
            </w:rPr>
            <w:fldChar w:fldCharType="separate"/>
          </w:r>
          <w:r>
            <w:rPr>
              <w:rFonts w:ascii="仿宋" w:hAnsi="仿宋"/>
            </w:rPr>
            <w:t>13</w:t>
          </w:r>
          <w:r>
            <w:rPr>
              <w:rFonts w:ascii="仿宋" w:hAnsi="仿宋"/>
            </w:rPr>
            <w:fldChar w:fldCharType="end"/>
          </w:r>
          <w:r>
            <w:rPr>
              <w:rFonts w:ascii="仿宋" w:hAnsi="仿宋"/>
            </w:rPr>
            <w:fldChar w:fldCharType="end"/>
          </w:r>
        </w:p>
        <w:p>
          <w:pPr>
            <w:pStyle w:val="18"/>
            <w:tabs>
              <w:tab w:val="right" w:leader="dot" w:pos="8296"/>
            </w:tabs>
            <w:rPr>
              <w:rFonts w:ascii="仿宋" w:hAnsi="仿宋"/>
            </w:rPr>
          </w:pPr>
          <w:r>
            <w:fldChar w:fldCharType="begin"/>
          </w:r>
          <w:r>
            <w:instrText xml:space="preserve"> HYPERLINK \l "_Toc91669977" </w:instrText>
          </w:r>
          <w:r>
            <w:fldChar w:fldCharType="separate"/>
          </w:r>
          <w:r>
            <w:rPr>
              <w:rStyle w:val="28"/>
              <w:rFonts w:ascii="仿宋" w:hAnsi="仿宋" w:cs="Times New Roman"/>
              <w:bCs/>
            </w:rPr>
            <w:t>1</w:t>
          </w:r>
          <w:r>
            <w:rPr>
              <w:rStyle w:val="28"/>
              <w:rFonts w:hint="eastAsia" w:ascii="仿宋" w:hAnsi="仿宋" w:cs="Times New Roman"/>
              <w:bCs/>
            </w:rPr>
            <w:t>、汽车产业</w:t>
          </w:r>
          <w:r>
            <w:rPr>
              <w:rFonts w:ascii="仿宋" w:hAnsi="仿宋"/>
            </w:rPr>
            <w:tab/>
          </w:r>
          <w:r>
            <w:rPr>
              <w:rFonts w:ascii="仿宋" w:hAnsi="仿宋"/>
            </w:rPr>
            <w:fldChar w:fldCharType="begin"/>
          </w:r>
          <w:r>
            <w:rPr>
              <w:rFonts w:ascii="仿宋" w:hAnsi="仿宋"/>
            </w:rPr>
            <w:instrText xml:space="preserve"> PAGEREF _Toc91669977 \h </w:instrText>
          </w:r>
          <w:r>
            <w:rPr>
              <w:rFonts w:ascii="仿宋" w:hAnsi="仿宋"/>
            </w:rPr>
            <w:fldChar w:fldCharType="separate"/>
          </w:r>
          <w:r>
            <w:rPr>
              <w:rFonts w:ascii="仿宋" w:hAnsi="仿宋"/>
            </w:rPr>
            <w:t>13</w:t>
          </w:r>
          <w:r>
            <w:rPr>
              <w:rFonts w:ascii="仿宋" w:hAnsi="仿宋"/>
            </w:rPr>
            <w:fldChar w:fldCharType="end"/>
          </w:r>
          <w:r>
            <w:rPr>
              <w:rFonts w:ascii="仿宋" w:hAnsi="仿宋"/>
            </w:rPr>
            <w:fldChar w:fldCharType="end"/>
          </w:r>
        </w:p>
        <w:p>
          <w:pPr>
            <w:pStyle w:val="18"/>
            <w:tabs>
              <w:tab w:val="right" w:leader="dot" w:pos="8296"/>
            </w:tabs>
            <w:rPr>
              <w:rFonts w:ascii="仿宋" w:hAnsi="仿宋"/>
            </w:rPr>
          </w:pPr>
          <w:r>
            <w:fldChar w:fldCharType="begin"/>
          </w:r>
          <w:r>
            <w:instrText xml:space="preserve"> HYPERLINK \l "_Toc91669978" </w:instrText>
          </w:r>
          <w:r>
            <w:fldChar w:fldCharType="separate"/>
          </w:r>
          <w:r>
            <w:rPr>
              <w:rStyle w:val="28"/>
              <w:rFonts w:ascii="仿宋" w:hAnsi="仿宋" w:cs="Times New Roman"/>
              <w:bCs/>
            </w:rPr>
            <w:t>2</w:t>
          </w:r>
          <w:r>
            <w:rPr>
              <w:rStyle w:val="28"/>
              <w:rFonts w:hint="eastAsia" w:ascii="仿宋" w:hAnsi="仿宋" w:cs="Times New Roman"/>
              <w:bCs/>
            </w:rPr>
            <w:t>、装备制造业</w:t>
          </w:r>
          <w:r>
            <w:rPr>
              <w:rFonts w:ascii="仿宋" w:hAnsi="仿宋"/>
            </w:rPr>
            <w:tab/>
          </w:r>
          <w:r>
            <w:rPr>
              <w:rFonts w:ascii="仿宋" w:hAnsi="仿宋"/>
            </w:rPr>
            <w:fldChar w:fldCharType="begin"/>
          </w:r>
          <w:r>
            <w:rPr>
              <w:rFonts w:ascii="仿宋" w:hAnsi="仿宋"/>
            </w:rPr>
            <w:instrText xml:space="preserve"> PAGEREF _Toc91669978 \h </w:instrText>
          </w:r>
          <w:r>
            <w:rPr>
              <w:rFonts w:ascii="仿宋" w:hAnsi="仿宋"/>
            </w:rPr>
            <w:fldChar w:fldCharType="separate"/>
          </w:r>
          <w:r>
            <w:rPr>
              <w:rFonts w:ascii="仿宋" w:hAnsi="仿宋"/>
            </w:rPr>
            <w:t>15</w:t>
          </w:r>
          <w:r>
            <w:rPr>
              <w:rFonts w:ascii="仿宋" w:hAnsi="仿宋"/>
            </w:rPr>
            <w:fldChar w:fldCharType="end"/>
          </w:r>
          <w:r>
            <w:rPr>
              <w:rFonts w:ascii="仿宋" w:hAnsi="仿宋"/>
            </w:rPr>
            <w:fldChar w:fldCharType="end"/>
          </w:r>
        </w:p>
        <w:p>
          <w:pPr>
            <w:pStyle w:val="11"/>
            <w:rPr>
              <w:rFonts w:ascii="仿宋" w:hAnsi="仿宋"/>
            </w:rPr>
          </w:pPr>
          <w:r>
            <w:fldChar w:fldCharType="begin"/>
          </w:r>
          <w:r>
            <w:instrText xml:space="preserve"> HYPERLINK \l "_Toc91669979" </w:instrText>
          </w:r>
          <w:r>
            <w:fldChar w:fldCharType="separate"/>
          </w:r>
          <w:r>
            <w:rPr>
              <w:rStyle w:val="28"/>
              <w:rFonts w:hint="eastAsia" w:ascii="仿宋" w:hAnsi="仿宋" w:cs="Times New Roman"/>
              <w:bCs/>
            </w:rPr>
            <w:t>（二）发挥资源优势，推动传统优势产业高质量发展</w:t>
          </w:r>
          <w:r>
            <w:rPr>
              <w:rFonts w:ascii="仿宋" w:hAnsi="仿宋"/>
            </w:rPr>
            <w:tab/>
          </w:r>
          <w:r>
            <w:rPr>
              <w:rFonts w:ascii="仿宋" w:hAnsi="仿宋"/>
            </w:rPr>
            <w:fldChar w:fldCharType="begin"/>
          </w:r>
          <w:r>
            <w:rPr>
              <w:rFonts w:ascii="仿宋" w:hAnsi="仿宋"/>
            </w:rPr>
            <w:instrText xml:space="preserve"> PAGEREF _Toc91669979 \h </w:instrText>
          </w:r>
          <w:r>
            <w:rPr>
              <w:rFonts w:ascii="仿宋" w:hAnsi="仿宋"/>
            </w:rPr>
            <w:fldChar w:fldCharType="separate"/>
          </w:r>
          <w:r>
            <w:rPr>
              <w:rFonts w:ascii="仿宋" w:hAnsi="仿宋"/>
            </w:rPr>
            <w:t>17</w:t>
          </w:r>
          <w:r>
            <w:rPr>
              <w:rFonts w:ascii="仿宋" w:hAnsi="仿宋"/>
            </w:rPr>
            <w:fldChar w:fldCharType="end"/>
          </w:r>
          <w:r>
            <w:rPr>
              <w:rFonts w:ascii="仿宋" w:hAnsi="仿宋"/>
            </w:rPr>
            <w:fldChar w:fldCharType="end"/>
          </w:r>
        </w:p>
        <w:p>
          <w:pPr>
            <w:pStyle w:val="18"/>
            <w:tabs>
              <w:tab w:val="right" w:leader="dot" w:pos="8296"/>
            </w:tabs>
            <w:rPr>
              <w:rFonts w:ascii="仿宋" w:hAnsi="仿宋"/>
            </w:rPr>
          </w:pPr>
          <w:r>
            <w:fldChar w:fldCharType="begin"/>
          </w:r>
          <w:r>
            <w:instrText xml:space="preserve"> HYPERLINK \l "_Toc91669980" </w:instrText>
          </w:r>
          <w:r>
            <w:fldChar w:fldCharType="separate"/>
          </w:r>
          <w:r>
            <w:rPr>
              <w:rStyle w:val="28"/>
              <w:rFonts w:ascii="仿宋" w:hAnsi="仿宋" w:cs="Times New Roman"/>
              <w:bCs/>
            </w:rPr>
            <w:t>1</w:t>
          </w:r>
          <w:r>
            <w:rPr>
              <w:rStyle w:val="28"/>
              <w:rFonts w:hint="eastAsia" w:ascii="仿宋" w:hAnsi="仿宋" w:cs="Times New Roman"/>
              <w:bCs/>
            </w:rPr>
            <w:t>、食品饮料加工业</w:t>
          </w:r>
          <w:r>
            <w:rPr>
              <w:rFonts w:ascii="仿宋" w:hAnsi="仿宋"/>
            </w:rPr>
            <w:tab/>
          </w:r>
          <w:r>
            <w:rPr>
              <w:rFonts w:ascii="仿宋" w:hAnsi="仿宋"/>
            </w:rPr>
            <w:fldChar w:fldCharType="begin"/>
          </w:r>
          <w:r>
            <w:rPr>
              <w:rFonts w:ascii="仿宋" w:hAnsi="仿宋"/>
            </w:rPr>
            <w:instrText xml:space="preserve"> PAGEREF _Toc91669980 \h </w:instrText>
          </w:r>
          <w:r>
            <w:rPr>
              <w:rFonts w:ascii="仿宋" w:hAnsi="仿宋"/>
            </w:rPr>
            <w:fldChar w:fldCharType="separate"/>
          </w:r>
          <w:r>
            <w:rPr>
              <w:rFonts w:ascii="仿宋" w:hAnsi="仿宋"/>
            </w:rPr>
            <w:t>17</w:t>
          </w:r>
          <w:r>
            <w:rPr>
              <w:rFonts w:ascii="仿宋" w:hAnsi="仿宋"/>
            </w:rPr>
            <w:fldChar w:fldCharType="end"/>
          </w:r>
          <w:r>
            <w:rPr>
              <w:rFonts w:ascii="仿宋" w:hAnsi="仿宋"/>
            </w:rPr>
            <w:fldChar w:fldCharType="end"/>
          </w:r>
        </w:p>
        <w:p>
          <w:pPr>
            <w:pStyle w:val="18"/>
            <w:tabs>
              <w:tab w:val="right" w:leader="dot" w:pos="8296"/>
            </w:tabs>
            <w:rPr>
              <w:rFonts w:ascii="仿宋" w:hAnsi="仿宋"/>
            </w:rPr>
          </w:pPr>
          <w:r>
            <w:fldChar w:fldCharType="begin"/>
          </w:r>
          <w:r>
            <w:instrText xml:space="preserve"> HYPERLINK \l "_Toc91669981" </w:instrText>
          </w:r>
          <w:r>
            <w:fldChar w:fldCharType="separate"/>
          </w:r>
          <w:r>
            <w:rPr>
              <w:rStyle w:val="28"/>
              <w:rFonts w:ascii="仿宋" w:hAnsi="仿宋" w:cs="Times New Roman"/>
              <w:bCs/>
            </w:rPr>
            <w:t>2</w:t>
          </w:r>
          <w:r>
            <w:rPr>
              <w:rStyle w:val="28"/>
              <w:rFonts w:hint="eastAsia" w:ascii="仿宋" w:hAnsi="仿宋" w:cs="Times New Roman"/>
              <w:bCs/>
            </w:rPr>
            <w:t>、建材工业</w:t>
          </w:r>
          <w:r>
            <w:rPr>
              <w:rFonts w:ascii="仿宋" w:hAnsi="仿宋"/>
            </w:rPr>
            <w:tab/>
          </w:r>
          <w:r>
            <w:rPr>
              <w:rFonts w:ascii="仿宋" w:hAnsi="仿宋"/>
            </w:rPr>
            <w:fldChar w:fldCharType="begin"/>
          </w:r>
          <w:r>
            <w:rPr>
              <w:rFonts w:ascii="仿宋" w:hAnsi="仿宋"/>
            </w:rPr>
            <w:instrText xml:space="preserve"> PAGEREF _Toc91669981 \h </w:instrText>
          </w:r>
          <w:r>
            <w:rPr>
              <w:rFonts w:ascii="仿宋" w:hAnsi="仿宋"/>
            </w:rPr>
            <w:fldChar w:fldCharType="separate"/>
          </w:r>
          <w:r>
            <w:rPr>
              <w:rFonts w:ascii="仿宋" w:hAnsi="仿宋"/>
            </w:rPr>
            <w:t>18</w:t>
          </w:r>
          <w:r>
            <w:rPr>
              <w:rFonts w:ascii="仿宋" w:hAnsi="仿宋"/>
            </w:rPr>
            <w:fldChar w:fldCharType="end"/>
          </w:r>
          <w:r>
            <w:rPr>
              <w:rFonts w:ascii="仿宋" w:hAnsi="仿宋"/>
            </w:rPr>
            <w:fldChar w:fldCharType="end"/>
          </w:r>
        </w:p>
        <w:p>
          <w:pPr>
            <w:pStyle w:val="18"/>
            <w:tabs>
              <w:tab w:val="right" w:leader="dot" w:pos="8296"/>
            </w:tabs>
            <w:rPr>
              <w:rFonts w:ascii="仿宋" w:hAnsi="仿宋"/>
            </w:rPr>
          </w:pPr>
          <w:r>
            <w:fldChar w:fldCharType="begin"/>
          </w:r>
          <w:r>
            <w:instrText xml:space="preserve"> HYPERLINK \l "_Toc91669982" </w:instrText>
          </w:r>
          <w:r>
            <w:fldChar w:fldCharType="separate"/>
          </w:r>
          <w:r>
            <w:rPr>
              <w:rStyle w:val="28"/>
              <w:rFonts w:ascii="仿宋" w:hAnsi="仿宋" w:cs="Times New Roman"/>
              <w:bCs/>
            </w:rPr>
            <w:t>3</w:t>
          </w:r>
          <w:r>
            <w:rPr>
              <w:rStyle w:val="28"/>
              <w:rFonts w:hint="eastAsia" w:ascii="仿宋" w:hAnsi="仿宋" w:cs="Times New Roman"/>
              <w:bCs/>
            </w:rPr>
            <w:t>、工艺品加工业</w:t>
          </w:r>
          <w:r>
            <w:rPr>
              <w:rFonts w:ascii="仿宋" w:hAnsi="仿宋"/>
            </w:rPr>
            <w:tab/>
          </w:r>
          <w:r>
            <w:rPr>
              <w:rFonts w:ascii="仿宋" w:hAnsi="仿宋"/>
            </w:rPr>
            <w:fldChar w:fldCharType="begin"/>
          </w:r>
          <w:r>
            <w:rPr>
              <w:rFonts w:ascii="仿宋" w:hAnsi="仿宋"/>
            </w:rPr>
            <w:instrText xml:space="preserve"> PAGEREF _Toc91669982 \h </w:instrText>
          </w:r>
          <w:r>
            <w:rPr>
              <w:rFonts w:ascii="仿宋" w:hAnsi="仿宋"/>
            </w:rPr>
            <w:fldChar w:fldCharType="separate"/>
          </w:r>
          <w:r>
            <w:rPr>
              <w:rFonts w:ascii="仿宋" w:hAnsi="仿宋"/>
            </w:rPr>
            <w:t>19</w:t>
          </w:r>
          <w:r>
            <w:rPr>
              <w:rFonts w:ascii="仿宋" w:hAnsi="仿宋"/>
            </w:rPr>
            <w:fldChar w:fldCharType="end"/>
          </w:r>
          <w:r>
            <w:rPr>
              <w:rFonts w:ascii="仿宋" w:hAnsi="仿宋"/>
            </w:rPr>
            <w:fldChar w:fldCharType="end"/>
          </w:r>
        </w:p>
        <w:p>
          <w:pPr>
            <w:pStyle w:val="18"/>
            <w:tabs>
              <w:tab w:val="right" w:leader="dot" w:pos="8296"/>
            </w:tabs>
            <w:rPr>
              <w:rFonts w:ascii="仿宋" w:hAnsi="仿宋"/>
            </w:rPr>
          </w:pPr>
          <w:r>
            <w:fldChar w:fldCharType="begin"/>
          </w:r>
          <w:r>
            <w:instrText xml:space="preserve"> HYPERLINK \l "_Toc91669983" </w:instrText>
          </w:r>
          <w:r>
            <w:fldChar w:fldCharType="separate"/>
          </w:r>
          <w:r>
            <w:rPr>
              <w:rStyle w:val="28"/>
              <w:rFonts w:ascii="仿宋" w:hAnsi="仿宋" w:cs="Times New Roman"/>
              <w:bCs/>
            </w:rPr>
            <w:t>4</w:t>
          </w:r>
          <w:r>
            <w:rPr>
              <w:rStyle w:val="28"/>
              <w:rFonts w:hint="eastAsia" w:ascii="仿宋" w:hAnsi="仿宋" w:cs="Times New Roman"/>
              <w:bCs/>
            </w:rPr>
            <w:t>、服装加工业</w:t>
          </w:r>
          <w:r>
            <w:rPr>
              <w:rFonts w:ascii="仿宋" w:hAnsi="仿宋"/>
            </w:rPr>
            <w:tab/>
          </w:r>
          <w:r>
            <w:rPr>
              <w:rFonts w:ascii="仿宋" w:hAnsi="仿宋"/>
            </w:rPr>
            <w:fldChar w:fldCharType="begin"/>
          </w:r>
          <w:r>
            <w:rPr>
              <w:rFonts w:ascii="仿宋" w:hAnsi="仿宋"/>
            </w:rPr>
            <w:instrText xml:space="preserve"> PAGEREF _Toc91669983 \h </w:instrText>
          </w:r>
          <w:r>
            <w:rPr>
              <w:rFonts w:ascii="仿宋" w:hAnsi="仿宋"/>
            </w:rPr>
            <w:fldChar w:fldCharType="separate"/>
          </w:r>
          <w:r>
            <w:rPr>
              <w:rFonts w:ascii="仿宋" w:hAnsi="仿宋"/>
            </w:rPr>
            <w:t>20</w:t>
          </w:r>
          <w:r>
            <w:rPr>
              <w:rFonts w:ascii="仿宋" w:hAnsi="仿宋"/>
            </w:rPr>
            <w:fldChar w:fldCharType="end"/>
          </w:r>
          <w:r>
            <w:rPr>
              <w:rFonts w:ascii="仿宋" w:hAnsi="仿宋"/>
            </w:rPr>
            <w:fldChar w:fldCharType="end"/>
          </w:r>
        </w:p>
        <w:p>
          <w:pPr>
            <w:pStyle w:val="11"/>
            <w:rPr>
              <w:rFonts w:ascii="仿宋" w:hAnsi="仿宋"/>
            </w:rPr>
          </w:pPr>
          <w:r>
            <w:fldChar w:fldCharType="begin"/>
          </w:r>
          <w:r>
            <w:instrText xml:space="preserve"> HYPERLINK \l "_Toc91669984" </w:instrText>
          </w:r>
          <w:r>
            <w:fldChar w:fldCharType="separate"/>
          </w:r>
          <w:r>
            <w:rPr>
              <w:rStyle w:val="28"/>
              <w:rFonts w:hint="eastAsia" w:ascii="仿宋" w:hAnsi="仿宋" w:cs="Times New Roman"/>
              <w:bCs/>
            </w:rPr>
            <w:t>（三）注重协同发展，发挥战新产业引领作用</w:t>
          </w:r>
          <w:r>
            <w:rPr>
              <w:rFonts w:ascii="仿宋" w:hAnsi="仿宋"/>
            </w:rPr>
            <w:tab/>
          </w:r>
          <w:r>
            <w:rPr>
              <w:rFonts w:ascii="仿宋" w:hAnsi="仿宋"/>
            </w:rPr>
            <w:fldChar w:fldCharType="begin"/>
          </w:r>
          <w:r>
            <w:rPr>
              <w:rFonts w:ascii="仿宋" w:hAnsi="仿宋"/>
            </w:rPr>
            <w:instrText xml:space="preserve"> PAGEREF _Toc91669984 \h </w:instrText>
          </w:r>
          <w:r>
            <w:rPr>
              <w:rFonts w:ascii="仿宋" w:hAnsi="仿宋"/>
            </w:rPr>
            <w:fldChar w:fldCharType="separate"/>
          </w:r>
          <w:r>
            <w:rPr>
              <w:rFonts w:ascii="仿宋" w:hAnsi="仿宋"/>
            </w:rPr>
            <w:t>21</w:t>
          </w:r>
          <w:r>
            <w:rPr>
              <w:rFonts w:ascii="仿宋" w:hAnsi="仿宋"/>
            </w:rPr>
            <w:fldChar w:fldCharType="end"/>
          </w:r>
          <w:r>
            <w:rPr>
              <w:rFonts w:ascii="仿宋" w:hAnsi="仿宋"/>
            </w:rPr>
            <w:fldChar w:fldCharType="end"/>
          </w:r>
        </w:p>
        <w:p>
          <w:pPr>
            <w:pStyle w:val="18"/>
            <w:tabs>
              <w:tab w:val="right" w:leader="dot" w:pos="8296"/>
            </w:tabs>
            <w:rPr>
              <w:rFonts w:ascii="仿宋" w:hAnsi="仿宋"/>
            </w:rPr>
          </w:pPr>
          <w:r>
            <w:fldChar w:fldCharType="begin"/>
          </w:r>
          <w:r>
            <w:instrText xml:space="preserve"> HYPERLINK \l "_Toc91669985" </w:instrText>
          </w:r>
          <w:r>
            <w:fldChar w:fldCharType="separate"/>
          </w:r>
          <w:r>
            <w:rPr>
              <w:rStyle w:val="28"/>
              <w:rFonts w:ascii="仿宋" w:hAnsi="仿宋" w:cs="Times New Roman"/>
              <w:bCs/>
            </w:rPr>
            <w:t>1</w:t>
          </w:r>
          <w:r>
            <w:rPr>
              <w:rStyle w:val="28"/>
              <w:rFonts w:hint="eastAsia" w:ascii="仿宋" w:hAnsi="仿宋" w:cs="Times New Roman"/>
              <w:bCs/>
            </w:rPr>
            <w:t>、新材料</w:t>
          </w:r>
          <w:r>
            <w:rPr>
              <w:rFonts w:ascii="仿宋" w:hAnsi="仿宋"/>
            </w:rPr>
            <w:tab/>
          </w:r>
          <w:r>
            <w:rPr>
              <w:rFonts w:ascii="仿宋" w:hAnsi="仿宋"/>
            </w:rPr>
            <w:fldChar w:fldCharType="begin"/>
          </w:r>
          <w:r>
            <w:rPr>
              <w:rFonts w:ascii="仿宋" w:hAnsi="仿宋"/>
            </w:rPr>
            <w:instrText xml:space="preserve"> PAGEREF _Toc91669985 \h </w:instrText>
          </w:r>
          <w:r>
            <w:rPr>
              <w:rFonts w:ascii="仿宋" w:hAnsi="仿宋"/>
            </w:rPr>
            <w:fldChar w:fldCharType="separate"/>
          </w:r>
          <w:r>
            <w:rPr>
              <w:rFonts w:ascii="仿宋" w:hAnsi="仿宋"/>
            </w:rPr>
            <w:t>21</w:t>
          </w:r>
          <w:r>
            <w:rPr>
              <w:rFonts w:ascii="仿宋" w:hAnsi="仿宋"/>
            </w:rPr>
            <w:fldChar w:fldCharType="end"/>
          </w:r>
          <w:r>
            <w:rPr>
              <w:rFonts w:ascii="仿宋" w:hAnsi="仿宋"/>
            </w:rPr>
            <w:fldChar w:fldCharType="end"/>
          </w:r>
        </w:p>
        <w:p>
          <w:pPr>
            <w:pStyle w:val="18"/>
            <w:tabs>
              <w:tab w:val="right" w:leader="dot" w:pos="8296"/>
            </w:tabs>
            <w:rPr>
              <w:rFonts w:ascii="仿宋" w:hAnsi="仿宋"/>
            </w:rPr>
          </w:pPr>
          <w:r>
            <w:fldChar w:fldCharType="begin"/>
          </w:r>
          <w:r>
            <w:instrText xml:space="preserve"> HYPERLINK \l "_Toc91669986" </w:instrText>
          </w:r>
          <w:r>
            <w:fldChar w:fldCharType="separate"/>
          </w:r>
          <w:r>
            <w:rPr>
              <w:rStyle w:val="28"/>
              <w:rFonts w:ascii="仿宋" w:hAnsi="仿宋" w:cs="Times New Roman"/>
              <w:bCs/>
            </w:rPr>
            <w:t>2</w:t>
          </w:r>
          <w:r>
            <w:rPr>
              <w:rStyle w:val="28"/>
              <w:rFonts w:hint="eastAsia" w:ascii="仿宋" w:hAnsi="仿宋" w:cs="Times New Roman"/>
              <w:bCs/>
            </w:rPr>
            <w:t>、新一代信息技术</w:t>
          </w:r>
          <w:r>
            <w:rPr>
              <w:rFonts w:ascii="仿宋" w:hAnsi="仿宋"/>
            </w:rPr>
            <w:tab/>
          </w:r>
          <w:r>
            <w:rPr>
              <w:rFonts w:ascii="仿宋" w:hAnsi="仿宋"/>
            </w:rPr>
            <w:fldChar w:fldCharType="begin"/>
          </w:r>
          <w:r>
            <w:rPr>
              <w:rFonts w:ascii="仿宋" w:hAnsi="仿宋"/>
            </w:rPr>
            <w:instrText xml:space="preserve"> PAGEREF _Toc91669986 \h </w:instrText>
          </w:r>
          <w:r>
            <w:rPr>
              <w:rFonts w:ascii="仿宋" w:hAnsi="仿宋"/>
            </w:rPr>
            <w:fldChar w:fldCharType="separate"/>
          </w:r>
          <w:r>
            <w:rPr>
              <w:rFonts w:ascii="仿宋" w:hAnsi="仿宋"/>
            </w:rPr>
            <w:t>23</w:t>
          </w:r>
          <w:r>
            <w:rPr>
              <w:rFonts w:ascii="仿宋" w:hAnsi="仿宋"/>
            </w:rPr>
            <w:fldChar w:fldCharType="end"/>
          </w:r>
          <w:r>
            <w:rPr>
              <w:rFonts w:ascii="仿宋" w:hAnsi="仿宋"/>
            </w:rPr>
            <w:fldChar w:fldCharType="end"/>
          </w:r>
        </w:p>
        <w:p>
          <w:pPr>
            <w:pStyle w:val="18"/>
            <w:tabs>
              <w:tab w:val="right" w:leader="dot" w:pos="8296"/>
            </w:tabs>
            <w:rPr>
              <w:rFonts w:ascii="仿宋" w:hAnsi="仿宋"/>
            </w:rPr>
          </w:pPr>
          <w:r>
            <w:fldChar w:fldCharType="begin"/>
          </w:r>
          <w:r>
            <w:instrText xml:space="preserve"> HYPERLINK \l "_Toc91669987" </w:instrText>
          </w:r>
          <w:r>
            <w:fldChar w:fldCharType="separate"/>
          </w:r>
          <w:r>
            <w:rPr>
              <w:rStyle w:val="28"/>
              <w:rFonts w:ascii="仿宋" w:hAnsi="仿宋" w:cs="Times New Roman"/>
              <w:bCs/>
            </w:rPr>
            <w:t>3</w:t>
          </w:r>
          <w:r>
            <w:rPr>
              <w:rStyle w:val="28"/>
              <w:rFonts w:hint="eastAsia" w:ascii="仿宋" w:hAnsi="仿宋" w:cs="Times New Roman"/>
              <w:bCs/>
            </w:rPr>
            <w:t>、生物医药</w:t>
          </w:r>
          <w:r>
            <w:rPr>
              <w:rFonts w:ascii="仿宋" w:hAnsi="仿宋"/>
            </w:rPr>
            <w:tab/>
          </w:r>
          <w:r>
            <w:rPr>
              <w:rFonts w:ascii="仿宋" w:hAnsi="仿宋"/>
            </w:rPr>
            <w:fldChar w:fldCharType="begin"/>
          </w:r>
          <w:r>
            <w:rPr>
              <w:rFonts w:ascii="仿宋" w:hAnsi="仿宋"/>
            </w:rPr>
            <w:instrText xml:space="preserve"> PAGEREF _Toc91669987 \h </w:instrText>
          </w:r>
          <w:r>
            <w:rPr>
              <w:rFonts w:ascii="仿宋" w:hAnsi="仿宋"/>
            </w:rPr>
            <w:fldChar w:fldCharType="separate"/>
          </w:r>
          <w:r>
            <w:rPr>
              <w:rFonts w:ascii="仿宋" w:hAnsi="仿宋"/>
            </w:rPr>
            <w:t>24</w:t>
          </w:r>
          <w:r>
            <w:rPr>
              <w:rFonts w:ascii="仿宋" w:hAnsi="仿宋"/>
            </w:rPr>
            <w:fldChar w:fldCharType="end"/>
          </w:r>
          <w:r>
            <w:rPr>
              <w:rFonts w:ascii="仿宋" w:hAnsi="仿宋"/>
            </w:rPr>
            <w:fldChar w:fldCharType="end"/>
          </w:r>
        </w:p>
        <w:p>
          <w:pPr>
            <w:pStyle w:val="21"/>
            <w:rPr>
              <w:rFonts w:ascii="仿宋" w:hAnsi="仿宋"/>
            </w:rPr>
          </w:pPr>
          <w:r>
            <w:fldChar w:fldCharType="begin"/>
          </w:r>
          <w:r>
            <w:instrText xml:space="preserve"> HYPERLINK \l "_Toc91669988" </w:instrText>
          </w:r>
          <w:r>
            <w:fldChar w:fldCharType="separate"/>
          </w:r>
          <w:r>
            <w:rPr>
              <w:rStyle w:val="28"/>
              <w:rFonts w:hint="eastAsia" w:ascii="仿宋" w:hAnsi="仿宋" w:cs="Times New Roman"/>
            </w:rPr>
            <w:t>二、推动发展生产性服务业</w:t>
          </w:r>
          <w:r>
            <w:rPr>
              <w:rFonts w:ascii="仿宋" w:hAnsi="仿宋"/>
            </w:rPr>
            <w:tab/>
          </w:r>
          <w:r>
            <w:rPr>
              <w:rFonts w:ascii="仿宋" w:hAnsi="仿宋"/>
            </w:rPr>
            <w:fldChar w:fldCharType="begin"/>
          </w:r>
          <w:r>
            <w:rPr>
              <w:rFonts w:ascii="仿宋" w:hAnsi="仿宋"/>
            </w:rPr>
            <w:instrText xml:space="preserve"> PAGEREF _Toc91669988 \h </w:instrText>
          </w:r>
          <w:r>
            <w:rPr>
              <w:rFonts w:ascii="仿宋" w:hAnsi="仿宋"/>
            </w:rPr>
            <w:fldChar w:fldCharType="separate"/>
          </w:r>
          <w:r>
            <w:rPr>
              <w:rFonts w:ascii="仿宋" w:hAnsi="仿宋"/>
            </w:rPr>
            <w:t>25</w:t>
          </w:r>
          <w:r>
            <w:rPr>
              <w:rFonts w:ascii="仿宋" w:hAnsi="仿宋"/>
            </w:rPr>
            <w:fldChar w:fldCharType="end"/>
          </w:r>
          <w:r>
            <w:rPr>
              <w:rFonts w:ascii="仿宋" w:hAnsi="仿宋"/>
            </w:rPr>
            <w:fldChar w:fldCharType="end"/>
          </w:r>
        </w:p>
        <w:p>
          <w:pPr>
            <w:pStyle w:val="11"/>
            <w:rPr>
              <w:rFonts w:ascii="仿宋" w:hAnsi="仿宋"/>
            </w:rPr>
          </w:pPr>
          <w:r>
            <w:fldChar w:fldCharType="begin"/>
          </w:r>
          <w:r>
            <w:instrText xml:space="preserve"> HYPERLINK \l "_Toc91669989" </w:instrText>
          </w:r>
          <w:r>
            <w:fldChar w:fldCharType="separate"/>
          </w:r>
          <w:r>
            <w:rPr>
              <w:rStyle w:val="28"/>
              <w:rFonts w:hint="eastAsia" w:ascii="仿宋" w:hAnsi="仿宋" w:cs="Times New Roman"/>
              <w:bCs/>
            </w:rPr>
            <w:t>（一）工业物流</w:t>
          </w:r>
          <w:r>
            <w:rPr>
              <w:rFonts w:ascii="仿宋" w:hAnsi="仿宋"/>
            </w:rPr>
            <w:tab/>
          </w:r>
          <w:r>
            <w:rPr>
              <w:rFonts w:ascii="仿宋" w:hAnsi="仿宋"/>
            </w:rPr>
            <w:fldChar w:fldCharType="begin"/>
          </w:r>
          <w:r>
            <w:rPr>
              <w:rFonts w:ascii="仿宋" w:hAnsi="仿宋"/>
            </w:rPr>
            <w:instrText xml:space="preserve"> PAGEREF _Toc91669989 \h </w:instrText>
          </w:r>
          <w:r>
            <w:rPr>
              <w:rFonts w:ascii="仿宋" w:hAnsi="仿宋"/>
            </w:rPr>
            <w:fldChar w:fldCharType="separate"/>
          </w:r>
          <w:r>
            <w:rPr>
              <w:rFonts w:ascii="仿宋" w:hAnsi="仿宋"/>
            </w:rPr>
            <w:t>25</w:t>
          </w:r>
          <w:r>
            <w:rPr>
              <w:rFonts w:ascii="仿宋" w:hAnsi="仿宋"/>
            </w:rPr>
            <w:fldChar w:fldCharType="end"/>
          </w:r>
          <w:r>
            <w:rPr>
              <w:rFonts w:ascii="仿宋" w:hAnsi="仿宋"/>
            </w:rPr>
            <w:fldChar w:fldCharType="end"/>
          </w:r>
        </w:p>
        <w:p>
          <w:pPr>
            <w:pStyle w:val="11"/>
            <w:rPr>
              <w:rFonts w:ascii="仿宋" w:hAnsi="仿宋"/>
            </w:rPr>
          </w:pPr>
          <w:r>
            <w:fldChar w:fldCharType="begin"/>
          </w:r>
          <w:r>
            <w:instrText xml:space="preserve"> HYPERLINK \l "_Toc91669990" </w:instrText>
          </w:r>
          <w:r>
            <w:fldChar w:fldCharType="separate"/>
          </w:r>
          <w:r>
            <w:rPr>
              <w:rStyle w:val="28"/>
              <w:rFonts w:hint="eastAsia" w:ascii="仿宋" w:hAnsi="仿宋" w:cs="Times New Roman"/>
              <w:bCs/>
            </w:rPr>
            <w:t>（二）科技服务</w:t>
          </w:r>
          <w:r>
            <w:rPr>
              <w:rFonts w:ascii="仿宋" w:hAnsi="仿宋"/>
            </w:rPr>
            <w:tab/>
          </w:r>
          <w:r>
            <w:rPr>
              <w:rFonts w:ascii="仿宋" w:hAnsi="仿宋"/>
            </w:rPr>
            <w:fldChar w:fldCharType="begin"/>
          </w:r>
          <w:r>
            <w:rPr>
              <w:rFonts w:ascii="仿宋" w:hAnsi="仿宋"/>
            </w:rPr>
            <w:instrText xml:space="preserve"> PAGEREF _Toc91669990 \h </w:instrText>
          </w:r>
          <w:r>
            <w:rPr>
              <w:rFonts w:ascii="仿宋" w:hAnsi="仿宋"/>
            </w:rPr>
            <w:fldChar w:fldCharType="separate"/>
          </w:r>
          <w:r>
            <w:rPr>
              <w:rFonts w:ascii="仿宋" w:hAnsi="仿宋"/>
            </w:rPr>
            <w:t>27</w:t>
          </w:r>
          <w:r>
            <w:rPr>
              <w:rFonts w:ascii="仿宋" w:hAnsi="仿宋"/>
            </w:rPr>
            <w:fldChar w:fldCharType="end"/>
          </w:r>
          <w:r>
            <w:rPr>
              <w:rFonts w:ascii="仿宋" w:hAnsi="仿宋"/>
            </w:rPr>
            <w:fldChar w:fldCharType="end"/>
          </w:r>
        </w:p>
        <w:p>
          <w:pPr>
            <w:pStyle w:val="17"/>
            <w:rPr>
              <w:b w:val="0"/>
              <w:lang w:val="en-US"/>
            </w:rPr>
          </w:pPr>
          <w:r>
            <w:fldChar w:fldCharType="begin"/>
          </w:r>
          <w:r>
            <w:instrText xml:space="preserve"> HYPERLINK \l "_Toc91669991" </w:instrText>
          </w:r>
          <w:r>
            <w:fldChar w:fldCharType="separate"/>
          </w:r>
          <w:r>
            <w:rPr>
              <w:rStyle w:val="28"/>
              <w:rFonts w:hint="eastAsia" w:cs="Times New Roman"/>
              <w:b w:val="0"/>
              <w:bCs/>
              <w:kern w:val="44"/>
            </w:rPr>
            <w:t>第四章</w:t>
          </w:r>
          <w:r>
            <w:rPr>
              <w:rStyle w:val="28"/>
              <w:rFonts w:cs="Times New Roman"/>
              <w:b w:val="0"/>
              <w:bCs/>
              <w:kern w:val="44"/>
            </w:rPr>
            <w:t xml:space="preserve"> </w:t>
          </w:r>
          <w:r>
            <w:rPr>
              <w:rStyle w:val="28"/>
              <w:rFonts w:hint="eastAsia" w:cs="Times New Roman"/>
              <w:b w:val="0"/>
              <w:bCs/>
              <w:kern w:val="44"/>
            </w:rPr>
            <w:t>加快工业转型升级</w:t>
          </w:r>
          <w:r>
            <w:rPr>
              <w:b w:val="0"/>
            </w:rPr>
            <w:tab/>
          </w:r>
          <w:r>
            <w:rPr>
              <w:b w:val="0"/>
            </w:rPr>
            <w:fldChar w:fldCharType="begin"/>
          </w:r>
          <w:r>
            <w:rPr>
              <w:b w:val="0"/>
            </w:rPr>
            <w:instrText xml:space="preserve"> PAGEREF _Toc91669991 \h </w:instrText>
          </w:r>
          <w:r>
            <w:rPr>
              <w:b w:val="0"/>
            </w:rPr>
            <w:fldChar w:fldCharType="separate"/>
          </w:r>
          <w:r>
            <w:rPr>
              <w:b w:val="0"/>
            </w:rPr>
            <w:t>30</w:t>
          </w:r>
          <w:r>
            <w:rPr>
              <w:b w:val="0"/>
            </w:rPr>
            <w:fldChar w:fldCharType="end"/>
          </w:r>
          <w:r>
            <w:rPr>
              <w:b w:val="0"/>
            </w:rPr>
            <w:fldChar w:fldCharType="end"/>
          </w:r>
        </w:p>
        <w:p>
          <w:pPr>
            <w:pStyle w:val="21"/>
            <w:rPr>
              <w:rFonts w:ascii="仿宋" w:hAnsi="仿宋"/>
            </w:rPr>
          </w:pPr>
          <w:r>
            <w:fldChar w:fldCharType="begin"/>
          </w:r>
          <w:r>
            <w:instrText xml:space="preserve"> HYPERLINK \l "_Toc91669992" </w:instrText>
          </w:r>
          <w:r>
            <w:fldChar w:fldCharType="separate"/>
          </w:r>
          <w:r>
            <w:rPr>
              <w:rStyle w:val="28"/>
              <w:rFonts w:hint="eastAsia" w:ascii="仿宋" w:hAnsi="仿宋" w:cs="Times New Roman"/>
              <w:bCs/>
            </w:rPr>
            <w:t>一、提升工业创新能力</w:t>
          </w:r>
          <w:r>
            <w:rPr>
              <w:rFonts w:ascii="仿宋" w:hAnsi="仿宋"/>
            </w:rPr>
            <w:tab/>
          </w:r>
          <w:r>
            <w:rPr>
              <w:rFonts w:ascii="仿宋" w:hAnsi="仿宋"/>
            </w:rPr>
            <w:fldChar w:fldCharType="begin"/>
          </w:r>
          <w:r>
            <w:rPr>
              <w:rFonts w:ascii="仿宋" w:hAnsi="仿宋"/>
            </w:rPr>
            <w:instrText xml:space="preserve"> PAGEREF _Toc91669992 \h </w:instrText>
          </w:r>
          <w:r>
            <w:rPr>
              <w:rFonts w:ascii="仿宋" w:hAnsi="仿宋"/>
            </w:rPr>
            <w:fldChar w:fldCharType="separate"/>
          </w:r>
          <w:r>
            <w:rPr>
              <w:rFonts w:ascii="仿宋" w:hAnsi="仿宋"/>
            </w:rPr>
            <w:t>30</w:t>
          </w:r>
          <w:r>
            <w:rPr>
              <w:rFonts w:ascii="仿宋" w:hAnsi="仿宋"/>
            </w:rPr>
            <w:fldChar w:fldCharType="end"/>
          </w:r>
          <w:r>
            <w:rPr>
              <w:rFonts w:ascii="仿宋" w:hAnsi="仿宋"/>
            </w:rPr>
            <w:fldChar w:fldCharType="end"/>
          </w:r>
        </w:p>
        <w:p>
          <w:pPr>
            <w:pStyle w:val="21"/>
            <w:rPr>
              <w:rFonts w:ascii="仿宋" w:hAnsi="仿宋"/>
            </w:rPr>
          </w:pPr>
          <w:r>
            <w:fldChar w:fldCharType="begin"/>
          </w:r>
          <w:r>
            <w:instrText xml:space="preserve"> HYPERLINK \l "_Toc91669993" </w:instrText>
          </w:r>
          <w:r>
            <w:fldChar w:fldCharType="separate"/>
          </w:r>
          <w:r>
            <w:rPr>
              <w:rStyle w:val="28"/>
              <w:rFonts w:hint="eastAsia" w:ascii="仿宋" w:hAnsi="仿宋" w:cs="Times New Roman"/>
              <w:bCs/>
            </w:rPr>
            <w:t>二、工业绿色低碳发展</w:t>
          </w:r>
          <w:r>
            <w:rPr>
              <w:rFonts w:ascii="仿宋" w:hAnsi="仿宋"/>
            </w:rPr>
            <w:tab/>
          </w:r>
          <w:r>
            <w:rPr>
              <w:rFonts w:ascii="仿宋" w:hAnsi="仿宋"/>
            </w:rPr>
            <w:fldChar w:fldCharType="begin"/>
          </w:r>
          <w:r>
            <w:rPr>
              <w:rFonts w:ascii="仿宋" w:hAnsi="仿宋"/>
            </w:rPr>
            <w:instrText xml:space="preserve"> PAGEREF _Toc91669993 \h </w:instrText>
          </w:r>
          <w:r>
            <w:rPr>
              <w:rFonts w:ascii="仿宋" w:hAnsi="仿宋"/>
            </w:rPr>
            <w:fldChar w:fldCharType="separate"/>
          </w:r>
          <w:r>
            <w:rPr>
              <w:rFonts w:ascii="仿宋" w:hAnsi="仿宋"/>
            </w:rPr>
            <w:t>31</w:t>
          </w:r>
          <w:r>
            <w:rPr>
              <w:rFonts w:ascii="仿宋" w:hAnsi="仿宋"/>
            </w:rPr>
            <w:fldChar w:fldCharType="end"/>
          </w:r>
          <w:r>
            <w:rPr>
              <w:rFonts w:ascii="仿宋" w:hAnsi="仿宋"/>
            </w:rPr>
            <w:fldChar w:fldCharType="end"/>
          </w:r>
        </w:p>
        <w:p>
          <w:pPr>
            <w:pStyle w:val="21"/>
            <w:rPr>
              <w:rFonts w:ascii="仿宋" w:hAnsi="仿宋"/>
            </w:rPr>
          </w:pPr>
          <w:r>
            <w:fldChar w:fldCharType="begin"/>
          </w:r>
          <w:r>
            <w:instrText xml:space="preserve"> HYPERLINK \l "_Toc91669994" </w:instrText>
          </w:r>
          <w:r>
            <w:fldChar w:fldCharType="separate"/>
          </w:r>
          <w:r>
            <w:rPr>
              <w:rStyle w:val="28"/>
              <w:rFonts w:hint="eastAsia" w:ascii="仿宋" w:hAnsi="仿宋" w:cs="Times New Roman"/>
              <w:bCs/>
            </w:rPr>
            <w:t>三、促进企业协调发展</w:t>
          </w:r>
          <w:r>
            <w:rPr>
              <w:rFonts w:ascii="仿宋" w:hAnsi="仿宋"/>
            </w:rPr>
            <w:tab/>
          </w:r>
          <w:r>
            <w:rPr>
              <w:rFonts w:ascii="仿宋" w:hAnsi="仿宋"/>
            </w:rPr>
            <w:fldChar w:fldCharType="begin"/>
          </w:r>
          <w:r>
            <w:rPr>
              <w:rFonts w:ascii="仿宋" w:hAnsi="仿宋"/>
            </w:rPr>
            <w:instrText xml:space="preserve"> PAGEREF _Toc91669994 \h </w:instrText>
          </w:r>
          <w:r>
            <w:rPr>
              <w:rFonts w:ascii="仿宋" w:hAnsi="仿宋"/>
            </w:rPr>
            <w:fldChar w:fldCharType="separate"/>
          </w:r>
          <w:r>
            <w:rPr>
              <w:rFonts w:ascii="仿宋" w:hAnsi="仿宋"/>
            </w:rPr>
            <w:t>32</w:t>
          </w:r>
          <w:r>
            <w:rPr>
              <w:rFonts w:ascii="仿宋" w:hAnsi="仿宋"/>
            </w:rPr>
            <w:fldChar w:fldCharType="end"/>
          </w:r>
          <w:r>
            <w:rPr>
              <w:rFonts w:ascii="仿宋" w:hAnsi="仿宋"/>
            </w:rPr>
            <w:fldChar w:fldCharType="end"/>
          </w:r>
        </w:p>
        <w:p>
          <w:pPr>
            <w:pStyle w:val="21"/>
            <w:rPr>
              <w:rFonts w:ascii="仿宋" w:hAnsi="仿宋"/>
            </w:rPr>
          </w:pPr>
          <w:r>
            <w:fldChar w:fldCharType="begin"/>
          </w:r>
          <w:r>
            <w:instrText xml:space="preserve"> HYPERLINK \l "_Toc91669995" </w:instrText>
          </w:r>
          <w:r>
            <w:fldChar w:fldCharType="separate"/>
          </w:r>
          <w:r>
            <w:rPr>
              <w:rStyle w:val="28"/>
              <w:rFonts w:hint="eastAsia" w:ascii="仿宋" w:hAnsi="仿宋" w:cs="Times New Roman"/>
              <w:bCs/>
            </w:rPr>
            <w:t>四、布局推进两化融合</w:t>
          </w:r>
          <w:r>
            <w:rPr>
              <w:rFonts w:ascii="仿宋" w:hAnsi="仿宋"/>
            </w:rPr>
            <w:tab/>
          </w:r>
          <w:r>
            <w:rPr>
              <w:rFonts w:ascii="仿宋" w:hAnsi="仿宋"/>
            </w:rPr>
            <w:fldChar w:fldCharType="begin"/>
          </w:r>
          <w:r>
            <w:rPr>
              <w:rFonts w:ascii="仿宋" w:hAnsi="仿宋"/>
            </w:rPr>
            <w:instrText xml:space="preserve"> PAGEREF _Toc91669995 \h </w:instrText>
          </w:r>
          <w:r>
            <w:rPr>
              <w:rFonts w:ascii="仿宋" w:hAnsi="仿宋"/>
            </w:rPr>
            <w:fldChar w:fldCharType="separate"/>
          </w:r>
          <w:r>
            <w:rPr>
              <w:rFonts w:ascii="仿宋" w:hAnsi="仿宋"/>
            </w:rPr>
            <w:t>33</w:t>
          </w:r>
          <w:r>
            <w:rPr>
              <w:rFonts w:ascii="仿宋" w:hAnsi="仿宋"/>
            </w:rPr>
            <w:fldChar w:fldCharType="end"/>
          </w:r>
          <w:r>
            <w:rPr>
              <w:rFonts w:ascii="仿宋" w:hAnsi="仿宋"/>
            </w:rPr>
            <w:fldChar w:fldCharType="end"/>
          </w:r>
        </w:p>
        <w:p>
          <w:pPr>
            <w:pStyle w:val="21"/>
            <w:rPr>
              <w:rFonts w:ascii="仿宋" w:hAnsi="仿宋"/>
            </w:rPr>
          </w:pPr>
          <w:r>
            <w:fldChar w:fldCharType="begin"/>
          </w:r>
          <w:r>
            <w:instrText xml:space="preserve"> HYPERLINK \l "_Toc91669996" </w:instrText>
          </w:r>
          <w:r>
            <w:fldChar w:fldCharType="separate"/>
          </w:r>
          <w:r>
            <w:rPr>
              <w:rStyle w:val="28"/>
              <w:rFonts w:hint="eastAsia" w:ascii="仿宋" w:hAnsi="仿宋" w:cs="Times New Roman"/>
              <w:bCs/>
            </w:rPr>
            <w:t>五、推动投资结构优化</w:t>
          </w:r>
          <w:r>
            <w:rPr>
              <w:rFonts w:ascii="仿宋" w:hAnsi="仿宋"/>
            </w:rPr>
            <w:tab/>
          </w:r>
          <w:r>
            <w:rPr>
              <w:rFonts w:ascii="仿宋" w:hAnsi="仿宋"/>
            </w:rPr>
            <w:fldChar w:fldCharType="begin"/>
          </w:r>
          <w:r>
            <w:rPr>
              <w:rFonts w:ascii="仿宋" w:hAnsi="仿宋"/>
            </w:rPr>
            <w:instrText xml:space="preserve"> PAGEREF _Toc91669996 \h </w:instrText>
          </w:r>
          <w:r>
            <w:rPr>
              <w:rFonts w:ascii="仿宋" w:hAnsi="仿宋"/>
            </w:rPr>
            <w:fldChar w:fldCharType="separate"/>
          </w:r>
          <w:r>
            <w:rPr>
              <w:rFonts w:ascii="仿宋" w:hAnsi="仿宋"/>
            </w:rPr>
            <w:t>33</w:t>
          </w:r>
          <w:r>
            <w:rPr>
              <w:rFonts w:ascii="仿宋" w:hAnsi="仿宋"/>
            </w:rPr>
            <w:fldChar w:fldCharType="end"/>
          </w:r>
          <w:r>
            <w:rPr>
              <w:rFonts w:ascii="仿宋" w:hAnsi="仿宋"/>
            </w:rPr>
            <w:fldChar w:fldCharType="end"/>
          </w:r>
        </w:p>
        <w:p>
          <w:pPr>
            <w:pStyle w:val="17"/>
            <w:rPr>
              <w:b w:val="0"/>
              <w:lang w:val="en-US"/>
            </w:rPr>
          </w:pPr>
          <w:r>
            <w:fldChar w:fldCharType="begin"/>
          </w:r>
          <w:r>
            <w:instrText xml:space="preserve"> HYPERLINK \l "_Toc91669997" </w:instrText>
          </w:r>
          <w:r>
            <w:fldChar w:fldCharType="separate"/>
          </w:r>
          <w:r>
            <w:rPr>
              <w:rStyle w:val="28"/>
              <w:rFonts w:hint="eastAsia" w:cs="Times New Roman"/>
              <w:b w:val="0"/>
              <w:bCs/>
              <w:kern w:val="44"/>
            </w:rPr>
            <w:t>第五章</w:t>
          </w:r>
          <w:r>
            <w:rPr>
              <w:rStyle w:val="28"/>
              <w:rFonts w:cs="Times New Roman"/>
              <w:b w:val="0"/>
              <w:bCs/>
              <w:kern w:val="44"/>
            </w:rPr>
            <w:t xml:space="preserve"> </w:t>
          </w:r>
          <w:r>
            <w:rPr>
              <w:rStyle w:val="28"/>
              <w:rFonts w:hint="eastAsia" w:cs="Times New Roman"/>
              <w:b w:val="0"/>
              <w:bCs/>
              <w:kern w:val="44"/>
            </w:rPr>
            <w:t>助力推进信息化发展</w:t>
          </w:r>
          <w:r>
            <w:rPr>
              <w:b w:val="0"/>
            </w:rPr>
            <w:tab/>
          </w:r>
          <w:r>
            <w:rPr>
              <w:b w:val="0"/>
            </w:rPr>
            <w:fldChar w:fldCharType="begin"/>
          </w:r>
          <w:r>
            <w:rPr>
              <w:b w:val="0"/>
            </w:rPr>
            <w:instrText xml:space="preserve"> PAGEREF _Toc91669997 \h </w:instrText>
          </w:r>
          <w:r>
            <w:rPr>
              <w:b w:val="0"/>
            </w:rPr>
            <w:fldChar w:fldCharType="separate"/>
          </w:r>
          <w:r>
            <w:rPr>
              <w:b w:val="0"/>
            </w:rPr>
            <w:t>35</w:t>
          </w:r>
          <w:r>
            <w:rPr>
              <w:b w:val="0"/>
            </w:rPr>
            <w:fldChar w:fldCharType="end"/>
          </w:r>
          <w:r>
            <w:rPr>
              <w:b w:val="0"/>
            </w:rPr>
            <w:fldChar w:fldCharType="end"/>
          </w:r>
        </w:p>
        <w:p>
          <w:pPr>
            <w:pStyle w:val="21"/>
            <w:rPr>
              <w:rFonts w:ascii="仿宋" w:hAnsi="仿宋"/>
            </w:rPr>
          </w:pPr>
          <w:r>
            <w:fldChar w:fldCharType="begin"/>
          </w:r>
          <w:r>
            <w:instrText xml:space="preserve"> HYPERLINK \l "_Toc91669998" </w:instrText>
          </w:r>
          <w:r>
            <w:fldChar w:fldCharType="separate"/>
          </w:r>
          <w:r>
            <w:rPr>
              <w:rStyle w:val="28"/>
              <w:rFonts w:hint="eastAsia" w:ascii="仿宋" w:hAnsi="仿宋" w:cs="Times New Roman"/>
              <w:bCs/>
            </w:rPr>
            <w:t>一、加强信息基础设施建设</w:t>
          </w:r>
          <w:r>
            <w:rPr>
              <w:rFonts w:ascii="仿宋" w:hAnsi="仿宋"/>
            </w:rPr>
            <w:tab/>
          </w:r>
          <w:r>
            <w:rPr>
              <w:rFonts w:ascii="仿宋" w:hAnsi="仿宋"/>
            </w:rPr>
            <w:fldChar w:fldCharType="begin"/>
          </w:r>
          <w:r>
            <w:rPr>
              <w:rFonts w:ascii="仿宋" w:hAnsi="仿宋"/>
            </w:rPr>
            <w:instrText xml:space="preserve"> PAGEREF _Toc91669998 \h </w:instrText>
          </w:r>
          <w:r>
            <w:rPr>
              <w:rFonts w:ascii="仿宋" w:hAnsi="仿宋"/>
            </w:rPr>
            <w:fldChar w:fldCharType="separate"/>
          </w:r>
          <w:r>
            <w:rPr>
              <w:rFonts w:ascii="仿宋" w:hAnsi="仿宋"/>
            </w:rPr>
            <w:t>35</w:t>
          </w:r>
          <w:r>
            <w:rPr>
              <w:rFonts w:ascii="仿宋" w:hAnsi="仿宋"/>
            </w:rPr>
            <w:fldChar w:fldCharType="end"/>
          </w:r>
          <w:r>
            <w:rPr>
              <w:rFonts w:ascii="仿宋" w:hAnsi="仿宋"/>
            </w:rPr>
            <w:fldChar w:fldCharType="end"/>
          </w:r>
        </w:p>
        <w:p>
          <w:pPr>
            <w:pStyle w:val="21"/>
            <w:rPr>
              <w:rFonts w:ascii="仿宋" w:hAnsi="仿宋"/>
            </w:rPr>
          </w:pPr>
          <w:r>
            <w:fldChar w:fldCharType="begin"/>
          </w:r>
          <w:r>
            <w:instrText xml:space="preserve"> HYPERLINK \l "_Toc91669999" </w:instrText>
          </w:r>
          <w:r>
            <w:fldChar w:fldCharType="separate"/>
          </w:r>
          <w:r>
            <w:rPr>
              <w:rStyle w:val="28"/>
              <w:rFonts w:hint="eastAsia" w:ascii="仿宋" w:hAnsi="仿宋" w:cs="Times New Roman"/>
              <w:bCs/>
            </w:rPr>
            <w:t>二、推动部署工业新基建</w:t>
          </w:r>
          <w:r>
            <w:rPr>
              <w:rFonts w:ascii="仿宋" w:hAnsi="仿宋"/>
            </w:rPr>
            <w:tab/>
          </w:r>
          <w:r>
            <w:rPr>
              <w:rFonts w:ascii="仿宋" w:hAnsi="仿宋"/>
            </w:rPr>
            <w:fldChar w:fldCharType="begin"/>
          </w:r>
          <w:r>
            <w:rPr>
              <w:rFonts w:ascii="仿宋" w:hAnsi="仿宋"/>
            </w:rPr>
            <w:instrText xml:space="preserve"> PAGEREF _Toc91669999 \h </w:instrText>
          </w:r>
          <w:r>
            <w:rPr>
              <w:rFonts w:ascii="仿宋" w:hAnsi="仿宋"/>
            </w:rPr>
            <w:fldChar w:fldCharType="separate"/>
          </w:r>
          <w:r>
            <w:rPr>
              <w:rFonts w:ascii="仿宋" w:hAnsi="仿宋"/>
            </w:rPr>
            <w:t>36</w:t>
          </w:r>
          <w:r>
            <w:rPr>
              <w:rFonts w:ascii="仿宋" w:hAnsi="仿宋"/>
            </w:rPr>
            <w:fldChar w:fldCharType="end"/>
          </w:r>
          <w:r>
            <w:rPr>
              <w:rFonts w:ascii="仿宋" w:hAnsi="仿宋"/>
            </w:rPr>
            <w:fldChar w:fldCharType="end"/>
          </w:r>
        </w:p>
        <w:p>
          <w:pPr>
            <w:pStyle w:val="21"/>
            <w:rPr>
              <w:rFonts w:ascii="仿宋" w:hAnsi="仿宋"/>
            </w:rPr>
          </w:pPr>
          <w:r>
            <w:fldChar w:fldCharType="begin"/>
          </w:r>
          <w:r>
            <w:instrText xml:space="preserve"> HYPERLINK \l "_Toc91670000" </w:instrText>
          </w:r>
          <w:r>
            <w:fldChar w:fldCharType="separate"/>
          </w:r>
          <w:r>
            <w:rPr>
              <w:rStyle w:val="28"/>
              <w:rFonts w:hint="eastAsia" w:ascii="仿宋" w:hAnsi="仿宋" w:cs="Times New Roman"/>
              <w:bCs/>
            </w:rPr>
            <w:t>三、大力发展信息服务业</w:t>
          </w:r>
          <w:r>
            <w:rPr>
              <w:rFonts w:ascii="仿宋" w:hAnsi="仿宋"/>
            </w:rPr>
            <w:tab/>
          </w:r>
          <w:r>
            <w:rPr>
              <w:rFonts w:ascii="仿宋" w:hAnsi="仿宋"/>
            </w:rPr>
            <w:fldChar w:fldCharType="begin"/>
          </w:r>
          <w:r>
            <w:rPr>
              <w:rFonts w:ascii="仿宋" w:hAnsi="仿宋"/>
            </w:rPr>
            <w:instrText xml:space="preserve"> PAGEREF _Toc91670000 \h </w:instrText>
          </w:r>
          <w:r>
            <w:rPr>
              <w:rFonts w:ascii="仿宋" w:hAnsi="仿宋"/>
            </w:rPr>
            <w:fldChar w:fldCharType="separate"/>
          </w:r>
          <w:r>
            <w:rPr>
              <w:rFonts w:ascii="仿宋" w:hAnsi="仿宋"/>
            </w:rPr>
            <w:t>37</w:t>
          </w:r>
          <w:r>
            <w:rPr>
              <w:rFonts w:ascii="仿宋" w:hAnsi="仿宋"/>
            </w:rPr>
            <w:fldChar w:fldCharType="end"/>
          </w:r>
          <w:r>
            <w:rPr>
              <w:rFonts w:ascii="仿宋" w:hAnsi="仿宋"/>
            </w:rPr>
            <w:fldChar w:fldCharType="end"/>
          </w:r>
        </w:p>
        <w:p>
          <w:pPr>
            <w:pStyle w:val="21"/>
            <w:rPr>
              <w:rFonts w:ascii="仿宋" w:hAnsi="仿宋"/>
            </w:rPr>
          </w:pPr>
          <w:r>
            <w:fldChar w:fldCharType="begin"/>
          </w:r>
          <w:r>
            <w:instrText xml:space="preserve"> HYPERLINK \l "_Toc91670001" </w:instrText>
          </w:r>
          <w:r>
            <w:fldChar w:fldCharType="separate"/>
          </w:r>
          <w:r>
            <w:rPr>
              <w:rStyle w:val="28"/>
              <w:rFonts w:hint="eastAsia" w:ascii="仿宋" w:hAnsi="仿宋" w:cs="Times New Roman"/>
              <w:bCs/>
            </w:rPr>
            <w:t>四、加强信息安全管理水平</w:t>
          </w:r>
          <w:r>
            <w:rPr>
              <w:rFonts w:ascii="仿宋" w:hAnsi="仿宋"/>
            </w:rPr>
            <w:tab/>
          </w:r>
          <w:r>
            <w:rPr>
              <w:rFonts w:ascii="仿宋" w:hAnsi="仿宋"/>
            </w:rPr>
            <w:fldChar w:fldCharType="begin"/>
          </w:r>
          <w:r>
            <w:rPr>
              <w:rFonts w:ascii="仿宋" w:hAnsi="仿宋"/>
            </w:rPr>
            <w:instrText xml:space="preserve"> PAGEREF _Toc91670001 \h </w:instrText>
          </w:r>
          <w:r>
            <w:rPr>
              <w:rFonts w:ascii="仿宋" w:hAnsi="仿宋"/>
            </w:rPr>
            <w:fldChar w:fldCharType="separate"/>
          </w:r>
          <w:r>
            <w:rPr>
              <w:rFonts w:ascii="仿宋" w:hAnsi="仿宋"/>
            </w:rPr>
            <w:t>38</w:t>
          </w:r>
          <w:r>
            <w:rPr>
              <w:rFonts w:ascii="仿宋" w:hAnsi="仿宋"/>
            </w:rPr>
            <w:fldChar w:fldCharType="end"/>
          </w:r>
          <w:r>
            <w:rPr>
              <w:rFonts w:ascii="仿宋" w:hAnsi="仿宋"/>
            </w:rPr>
            <w:fldChar w:fldCharType="end"/>
          </w:r>
        </w:p>
        <w:p>
          <w:pPr>
            <w:pStyle w:val="17"/>
            <w:rPr>
              <w:b w:val="0"/>
              <w:lang w:val="en-US"/>
            </w:rPr>
          </w:pPr>
          <w:r>
            <w:fldChar w:fldCharType="begin"/>
          </w:r>
          <w:r>
            <w:instrText xml:space="preserve"> HYPERLINK \l "_Toc91670002" </w:instrText>
          </w:r>
          <w:r>
            <w:fldChar w:fldCharType="separate"/>
          </w:r>
          <w:r>
            <w:rPr>
              <w:rStyle w:val="28"/>
              <w:rFonts w:hint="eastAsia" w:cs="Times New Roman"/>
              <w:b w:val="0"/>
              <w:bCs/>
              <w:kern w:val="44"/>
            </w:rPr>
            <w:t>第六章</w:t>
          </w:r>
          <w:r>
            <w:rPr>
              <w:rStyle w:val="28"/>
              <w:rFonts w:cs="Times New Roman"/>
              <w:b w:val="0"/>
              <w:bCs/>
              <w:kern w:val="44"/>
            </w:rPr>
            <w:t xml:space="preserve"> </w:t>
          </w:r>
          <w:r>
            <w:rPr>
              <w:rStyle w:val="28"/>
              <w:rFonts w:hint="eastAsia" w:cs="Times New Roman"/>
              <w:b w:val="0"/>
              <w:bCs/>
              <w:kern w:val="44"/>
            </w:rPr>
            <w:t>空间布局</w:t>
          </w:r>
          <w:r>
            <w:rPr>
              <w:b w:val="0"/>
            </w:rPr>
            <w:tab/>
          </w:r>
          <w:r>
            <w:rPr>
              <w:b w:val="0"/>
            </w:rPr>
            <w:fldChar w:fldCharType="begin"/>
          </w:r>
          <w:r>
            <w:rPr>
              <w:b w:val="0"/>
            </w:rPr>
            <w:instrText xml:space="preserve"> PAGEREF _Toc91670002 \h </w:instrText>
          </w:r>
          <w:r>
            <w:rPr>
              <w:b w:val="0"/>
            </w:rPr>
            <w:fldChar w:fldCharType="separate"/>
          </w:r>
          <w:r>
            <w:rPr>
              <w:b w:val="0"/>
            </w:rPr>
            <w:t>40</w:t>
          </w:r>
          <w:r>
            <w:rPr>
              <w:b w:val="0"/>
            </w:rPr>
            <w:fldChar w:fldCharType="end"/>
          </w:r>
          <w:r>
            <w:rPr>
              <w:b w:val="0"/>
            </w:rPr>
            <w:fldChar w:fldCharType="end"/>
          </w:r>
        </w:p>
        <w:p>
          <w:pPr>
            <w:pStyle w:val="21"/>
            <w:rPr>
              <w:rFonts w:ascii="仿宋" w:hAnsi="仿宋"/>
            </w:rPr>
          </w:pPr>
          <w:r>
            <w:fldChar w:fldCharType="begin"/>
          </w:r>
          <w:r>
            <w:instrText xml:space="preserve"> HYPERLINK \l "_Toc91670003" </w:instrText>
          </w:r>
          <w:r>
            <w:fldChar w:fldCharType="separate"/>
          </w:r>
          <w:r>
            <w:rPr>
              <w:rStyle w:val="28"/>
              <w:rFonts w:hint="eastAsia" w:ascii="仿宋" w:hAnsi="仿宋" w:cs="Times New Roman"/>
              <w:bCs/>
            </w:rPr>
            <w:t>一、布局原则</w:t>
          </w:r>
          <w:r>
            <w:rPr>
              <w:rFonts w:ascii="仿宋" w:hAnsi="仿宋"/>
            </w:rPr>
            <w:tab/>
          </w:r>
          <w:r>
            <w:rPr>
              <w:rFonts w:ascii="仿宋" w:hAnsi="仿宋"/>
            </w:rPr>
            <w:fldChar w:fldCharType="begin"/>
          </w:r>
          <w:r>
            <w:rPr>
              <w:rFonts w:ascii="仿宋" w:hAnsi="仿宋"/>
            </w:rPr>
            <w:instrText xml:space="preserve"> PAGEREF _Toc91670003 \h </w:instrText>
          </w:r>
          <w:r>
            <w:rPr>
              <w:rFonts w:ascii="仿宋" w:hAnsi="仿宋"/>
            </w:rPr>
            <w:fldChar w:fldCharType="separate"/>
          </w:r>
          <w:r>
            <w:rPr>
              <w:rFonts w:ascii="仿宋" w:hAnsi="仿宋"/>
            </w:rPr>
            <w:t>40</w:t>
          </w:r>
          <w:r>
            <w:rPr>
              <w:rFonts w:ascii="仿宋" w:hAnsi="仿宋"/>
            </w:rPr>
            <w:fldChar w:fldCharType="end"/>
          </w:r>
          <w:r>
            <w:rPr>
              <w:rFonts w:ascii="仿宋" w:hAnsi="仿宋"/>
            </w:rPr>
            <w:fldChar w:fldCharType="end"/>
          </w:r>
        </w:p>
        <w:p>
          <w:pPr>
            <w:pStyle w:val="21"/>
            <w:rPr>
              <w:rFonts w:ascii="仿宋" w:hAnsi="仿宋"/>
            </w:rPr>
          </w:pPr>
          <w:r>
            <w:fldChar w:fldCharType="begin"/>
          </w:r>
          <w:r>
            <w:instrText xml:space="preserve"> HYPERLINK \l "_Toc91670004" </w:instrText>
          </w:r>
          <w:r>
            <w:fldChar w:fldCharType="separate"/>
          </w:r>
          <w:r>
            <w:rPr>
              <w:rStyle w:val="28"/>
              <w:rFonts w:hint="eastAsia" w:ascii="仿宋" w:hAnsi="仿宋" w:cs="Times New Roman"/>
              <w:bCs/>
            </w:rPr>
            <w:t>二、布局方案</w:t>
          </w:r>
          <w:r>
            <w:rPr>
              <w:rFonts w:ascii="仿宋" w:hAnsi="仿宋"/>
            </w:rPr>
            <w:tab/>
          </w:r>
          <w:r>
            <w:rPr>
              <w:rFonts w:ascii="仿宋" w:hAnsi="仿宋"/>
            </w:rPr>
            <w:fldChar w:fldCharType="begin"/>
          </w:r>
          <w:r>
            <w:rPr>
              <w:rFonts w:ascii="仿宋" w:hAnsi="仿宋"/>
            </w:rPr>
            <w:instrText xml:space="preserve"> PAGEREF _Toc91670004 \h </w:instrText>
          </w:r>
          <w:r>
            <w:rPr>
              <w:rFonts w:ascii="仿宋" w:hAnsi="仿宋"/>
            </w:rPr>
            <w:fldChar w:fldCharType="separate"/>
          </w:r>
          <w:r>
            <w:rPr>
              <w:rFonts w:ascii="仿宋" w:hAnsi="仿宋"/>
            </w:rPr>
            <w:t>40</w:t>
          </w:r>
          <w:r>
            <w:rPr>
              <w:rFonts w:ascii="仿宋" w:hAnsi="仿宋"/>
            </w:rPr>
            <w:fldChar w:fldCharType="end"/>
          </w:r>
          <w:r>
            <w:rPr>
              <w:rFonts w:ascii="仿宋" w:hAnsi="仿宋"/>
            </w:rPr>
            <w:fldChar w:fldCharType="end"/>
          </w:r>
        </w:p>
        <w:p>
          <w:pPr>
            <w:pStyle w:val="17"/>
            <w:rPr>
              <w:b w:val="0"/>
              <w:lang w:val="en-US"/>
            </w:rPr>
          </w:pPr>
          <w:r>
            <w:fldChar w:fldCharType="begin"/>
          </w:r>
          <w:r>
            <w:instrText xml:space="preserve"> HYPERLINK \l "_Toc91670005" </w:instrText>
          </w:r>
          <w:r>
            <w:fldChar w:fldCharType="separate"/>
          </w:r>
          <w:r>
            <w:rPr>
              <w:rStyle w:val="28"/>
              <w:rFonts w:hint="eastAsia" w:cs="Times New Roman"/>
              <w:b w:val="0"/>
              <w:bCs/>
              <w:kern w:val="44"/>
            </w:rPr>
            <w:t>第七章</w:t>
          </w:r>
          <w:r>
            <w:rPr>
              <w:rStyle w:val="28"/>
              <w:rFonts w:cs="Times New Roman"/>
              <w:b w:val="0"/>
              <w:bCs/>
              <w:kern w:val="44"/>
            </w:rPr>
            <w:t xml:space="preserve"> </w:t>
          </w:r>
          <w:r>
            <w:rPr>
              <w:rStyle w:val="28"/>
              <w:rFonts w:hint="eastAsia" w:cs="Times New Roman"/>
              <w:b w:val="0"/>
              <w:bCs/>
              <w:kern w:val="44"/>
            </w:rPr>
            <w:t>重大工程</w:t>
          </w:r>
          <w:r>
            <w:rPr>
              <w:b w:val="0"/>
            </w:rPr>
            <w:tab/>
          </w:r>
          <w:r>
            <w:rPr>
              <w:b w:val="0"/>
            </w:rPr>
            <w:fldChar w:fldCharType="begin"/>
          </w:r>
          <w:r>
            <w:rPr>
              <w:b w:val="0"/>
            </w:rPr>
            <w:instrText xml:space="preserve"> PAGEREF _Toc91670005 \h </w:instrText>
          </w:r>
          <w:r>
            <w:rPr>
              <w:b w:val="0"/>
            </w:rPr>
            <w:fldChar w:fldCharType="separate"/>
          </w:r>
          <w:r>
            <w:rPr>
              <w:b w:val="0"/>
            </w:rPr>
            <w:t>43</w:t>
          </w:r>
          <w:r>
            <w:rPr>
              <w:b w:val="0"/>
            </w:rPr>
            <w:fldChar w:fldCharType="end"/>
          </w:r>
          <w:r>
            <w:rPr>
              <w:b w:val="0"/>
            </w:rPr>
            <w:fldChar w:fldCharType="end"/>
          </w:r>
        </w:p>
        <w:p>
          <w:pPr>
            <w:pStyle w:val="21"/>
            <w:rPr>
              <w:rFonts w:ascii="仿宋" w:hAnsi="仿宋"/>
            </w:rPr>
          </w:pPr>
          <w:r>
            <w:fldChar w:fldCharType="begin"/>
          </w:r>
          <w:r>
            <w:instrText xml:space="preserve"> HYPERLINK \l "_Toc91670006" </w:instrText>
          </w:r>
          <w:r>
            <w:fldChar w:fldCharType="separate"/>
          </w:r>
          <w:r>
            <w:rPr>
              <w:rStyle w:val="28"/>
              <w:rFonts w:hint="eastAsia" w:ascii="仿宋" w:hAnsi="仿宋" w:cs="Times New Roman"/>
              <w:bCs/>
            </w:rPr>
            <w:t>一、龙头企业引培工程</w:t>
          </w:r>
          <w:r>
            <w:rPr>
              <w:rFonts w:ascii="仿宋" w:hAnsi="仿宋"/>
            </w:rPr>
            <w:tab/>
          </w:r>
          <w:r>
            <w:rPr>
              <w:rFonts w:ascii="仿宋" w:hAnsi="仿宋"/>
            </w:rPr>
            <w:fldChar w:fldCharType="begin"/>
          </w:r>
          <w:r>
            <w:rPr>
              <w:rFonts w:ascii="仿宋" w:hAnsi="仿宋"/>
            </w:rPr>
            <w:instrText xml:space="preserve"> PAGEREF _Toc91670006 \h </w:instrText>
          </w:r>
          <w:r>
            <w:rPr>
              <w:rFonts w:ascii="仿宋" w:hAnsi="仿宋"/>
            </w:rPr>
            <w:fldChar w:fldCharType="separate"/>
          </w:r>
          <w:r>
            <w:rPr>
              <w:rFonts w:ascii="仿宋" w:hAnsi="仿宋"/>
            </w:rPr>
            <w:t>43</w:t>
          </w:r>
          <w:r>
            <w:rPr>
              <w:rFonts w:ascii="仿宋" w:hAnsi="仿宋"/>
            </w:rPr>
            <w:fldChar w:fldCharType="end"/>
          </w:r>
          <w:r>
            <w:rPr>
              <w:rFonts w:ascii="仿宋" w:hAnsi="仿宋"/>
            </w:rPr>
            <w:fldChar w:fldCharType="end"/>
          </w:r>
        </w:p>
        <w:p>
          <w:pPr>
            <w:pStyle w:val="21"/>
            <w:rPr>
              <w:rFonts w:ascii="仿宋" w:hAnsi="仿宋"/>
            </w:rPr>
          </w:pPr>
          <w:r>
            <w:fldChar w:fldCharType="begin"/>
          </w:r>
          <w:r>
            <w:instrText xml:space="preserve"> HYPERLINK \l "_Toc91670007" </w:instrText>
          </w:r>
          <w:r>
            <w:fldChar w:fldCharType="separate"/>
          </w:r>
          <w:r>
            <w:rPr>
              <w:rStyle w:val="28"/>
              <w:rFonts w:hint="eastAsia" w:ascii="仿宋" w:hAnsi="仿宋" w:cs="Times New Roman"/>
              <w:bCs/>
            </w:rPr>
            <w:t>二、重点项目推进工程</w:t>
          </w:r>
          <w:r>
            <w:rPr>
              <w:rFonts w:ascii="仿宋" w:hAnsi="仿宋"/>
            </w:rPr>
            <w:tab/>
          </w:r>
          <w:r>
            <w:rPr>
              <w:rFonts w:ascii="仿宋" w:hAnsi="仿宋"/>
            </w:rPr>
            <w:fldChar w:fldCharType="begin"/>
          </w:r>
          <w:r>
            <w:rPr>
              <w:rFonts w:ascii="仿宋" w:hAnsi="仿宋"/>
            </w:rPr>
            <w:instrText xml:space="preserve"> PAGEREF _Toc91670007 \h </w:instrText>
          </w:r>
          <w:r>
            <w:rPr>
              <w:rFonts w:ascii="仿宋" w:hAnsi="仿宋"/>
            </w:rPr>
            <w:fldChar w:fldCharType="separate"/>
          </w:r>
          <w:r>
            <w:rPr>
              <w:rFonts w:ascii="仿宋" w:hAnsi="仿宋"/>
            </w:rPr>
            <w:t>43</w:t>
          </w:r>
          <w:r>
            <w:rPr>
              <w:rFonts w:ascii="仿宋" w:hAnsi="仿宋"/>
            </w:rPr>
            <w:fldChar w:fldCharType="end"/>
          </w:r>
          <w:r>
            <w:rPr>
              <w:rFonts w:ascii="仿宋" w:hAnsi="仿宋"/>
            </w:rPr>
            <w:fldChar w:fldCharType="end"/>
          </w:r>
        </w:p>
        <w:p>
          <w:pPr>
            <w:pStyle w:val="21"/>
            <w:rPr>
              <w:rFonts w:ascii="仿宋" w:hAnsi="仿宋"/>
            </w:rPr>
          </w:pPr>
          <w:r>
            <w:fldChar w:fldCharType="begin"/>
          </w:r>
          <w:r>
            <w:instrText xml:space="preserve"> HYPERLINK \l "_Toc91670008" </w:instrText>
          </w:r>
          <w:r>
            <w:fldChar w:fldCharType="separate"/>
          </w:r>
          <w:r>
            <w:rPr>
              <w:rStyle w:val="28"/>
              <w:rFonts w:hint="eastAsia" w:ascii="仿宋" w:hAnsi="仿宋" w:cs="Times New Roman"/>
              <w:bCs/>
            </w:rPr>
            <w:t>三、名品名牌创优工程</w:t>
          </w:r>
          <w:r>
            <w:rPr>
              <w:rFonts w:ascii="仿宋" w:hAnsi="仿宋"/>
            </w:rPr>
            <w:tab/>
          </w:r>
          <w:r>
            <w:rPr>
              <w:rFonts w:ascii="仿宋" w:hAnsi="仿宋"/>
            </w:rPr>
            <w:fldChar w:fldCharType="begin"/>
          </w:r>
          <w:r>
            <w:rPr>
              <w:rFonts w:ascii="仿宋" w:hAnsi="仿宋"/>
            </w:rPr>
            <w:instrText xml:space="preserve"> PAGEREF _Toc91670008 \h </w:instrText>
          </w:r>
          <w:r>
            <w:rPr>
              <w:rFonts w:ascii="仿宋" w:hAnsi="仿宋"/>
            </w:rPr>
            <w:fldChar w:fldCharType="separate"/>
          </w:r>
          <w:r>
            <w:rPr>
              <w:rFonts w:ascii="仿宋" w:hAnsi="仿宋"/>
            </w:rPr>
            <w:t>44</w:t>
          </w:r>
          <w:r>
            <w:rPr>
              <w:rFonts w:ascii="仿宋" w:hAnsi="仿宋"/>
            </w:rPr>
            <w:fldChar w:fldCharType="end"/>
          </w:r>
          <w:r>
            <w:rPr>
              <w:rFonts w:ascii="仿宋" w:hAnsi="仿宋"/>
            </w:rPr>
            <w:fldChar w:fldCharType="end"/>
          </w:r>
        </w:p>
        <w:p>
          <w:pPr>
            <w:pStyle w:val="21"/>
            <w:rPr>
              <w:rFonts w:ascii="仿宋" w:hAnsi="仿宋"/>
            </w:rPr>
          </w:pPr>
          <w:r>
            <w:fldChar w:fldCharType="begin"/>
          </w:r>
          <w:r>
            <w:instrText xml:space="preserve"> HYPERLINK \l "_Toc91670009" </w:instrText>
          </w:r>
          <w:r>
            <w:fldChar w:fldCharType="separate"/>
          </w:r>
          <w:r>
            <w:rPr>
              <w:rStyle w:val="28"/>
              <w:rFonts w:hint="eastAsia" w:ascii="仿宋" w:hAnsi="仿宋" w:cs="Times New Roman"/>
              <w:bCs/>
            </w:rPr>
            <w:t>四、人才招引培育工程</w:t>
          </w:r>
          <w:r>
            <w:rPr>
              <w:rFonts w:ascii="仿宋" w:hAnsi="仿宋"/>
            </w:rPr>
            <w:tab/>
          </w:r>
          <w:r>
            <w:rPr>
              <w:rFonts w:ascii="仿宋" w:hAnsi="仿宋"/>
            </w:rPr>
            <w:fldChar w:fldCharType="begin"/>
          </w:r>
          <w:r>
            <w:rPr>
              <w:rFonts w:ascii="仿宋" w:hAnsi="仿宋"/>
            </w:rPr>
            <w:instrText xml:space="preserve"> PAGEREF _Toc91670009 \h </w:instrText>
          </w:r>
          <w:r>
            <w:rPr>
              <w:rFonts w:ascii="仿宋" w:hAnsi="仿宋"/>
            </w:rPr>
            <w:fldChar w:fldCharType="separate"/>
          </w:r>
          <w:r>
            <w:rPr>
              <w:rFonts w:ascii="仿宋" w:hAnsi="仿宋"/>
            </w:rPr>
            <w:t>45</w:t>
          </w:r>
          <w:r>
            <w:rPr>
              <w:rFonts w:ascii="仿宋" w:hAnsi="仿宋"/>
            </w:rPr>
            <w:fldChar w:fldCharType="end"/>
          </w:r>
          <w:r>
            <w:rPr>
              <w:rFonts w:ascii="仿宋" w:hAnsi="仿宋"/>
            </w:rPr>
            <w:fldChar w:fldCharType="end"/>
          </w:r>
        </w:p>
        <w:p>
          <w:pPr>
            <w:pStyle w:val="21"/>
            <w:rPr>
              <w:rFonts w:ascii="仿宋" w:hAnsi="仿宋"/>
            </w:rPr>
          </w:pPr>
          <w:r>
            <w:fldChar w:fldCharType="begin"/>
          </w:r>
          <w:r>
            <w:instrText xml:space="preserve"> HYPERLINK \l "_Toc91670010" </w:instrText>
          </w:r>
          <w:r>
            <w:fldChar w:fldCharType="separate"/>
          </w:r>
          <w:r>
            <w:rPr>
              <w:rStyle w:val="28"/>
              <w:rFonts w:hint="eastAsia" w:ascii="仿宋" w:hAnsi="仿宋" w:cs="Times New Roman"/>
              <w:bCs/>
            </w:rPr>
            <w:t>五、科创载体建设工程</w:t>
          </w:r>
          <w:r>
            <w:rPr>
              <w:rFonts w:ascii="仿宋" w:hAnsi="仿宋"/>
            </w:rPr>
            <w:tab/>
          </w:r>
          <w:r>
            <w:rPr>
              <w:rFonts w:ascii="仿宋" w:hAnsi="仿宋"/>
            </w:rPr>
            <w:fldChar w:fldCharType="begin"/>
          </w:r>
          <w:r>
            <w:rPr>
              <w:rFonts w:ascii="仿宋" w:hAnsi="仿宋"/>
            </w:rPr>
            <w:instrText xml:space="preserve"> PAGEREF _Toc91670010 \h </w:instrText>
          </w:r>
          <w:r>
            <w:rPr>
              <w:rFonts w:ascii="仿宋" w:hAnsi="仿宋"/>
            </w:rPr>
            <w:fldChar w:fldCharType="separate"/>
          </w:r>
          <w:r>
            <w:rPr>
              <w:rFonts w:ascii="仿宋" w:hAnsi="仿宋"/>
            </w:rPr>
            <w:t>47</w:t>
          </w:r>
          <w:r>
            <w:rPr>
              <w:rFonts w:ascii="仿宋" w:hAnsi="仿宋"/>
            </w:rPr>
            <w:fldChar w:fldCharType="end"/>
          </w:r>
          <w:r>
            <w:rPr>
              <w:rFonts w:ascii="仿宋" w:hAnsi="仿宋"/>
            </w:rPr>
            <w:fldChar w:fldCharType="end"/>
          </w:r>
        </w:p>
        <w:p>
          <w:pPr>
            <w:pStyle w:val="17"/>
            <w:rPr>
              <w:b w:val="0"/>
              <w:lang w:val="en-US"/>
            </w:rPr>
          </w:pPr>
          <w:r>
            <w:fldChar w:fldCharType="begin"/>
          </w:r>
          <w:r>
            <w:instrText xml:space="preserve"> HYPERLINK \l "_Toc91670011" </w:instrText>
          </w:r>
          <w:r>
            <w:fldChar w:fldCharType="separate"/>
          </w:r>
          <w:r>
            <w:rPr>
              <w:rStyle w:val="28"/>
              <w:rFonts w:hint="eastAsia" w:cs="Times New Roman"/>
              <w:b w:val="0"/>
              <w:bCs/>
              <w:kern w:val="44"/>
            </w:rPr>
            <w:t>第八章</w:t>
          </w:r>
          <w:r>
            <w:rPr>
              <w:rStyle w:val="28"/>
              <w:rFonts w:cs="Times New Roman"/>
              <w:b w:val="0"/>
              <w:bCs/>
              <w:kern w:val="44"/>
            </w:rPr>
            <w:t xml:space="preserve"> </w:t>
          </w:r>
          <w:r>
            <w:rPr>
              <w:rStyle w:val="28"/>
              <w:rFonts w:hint="eastAsia" w:cs="Times New Roman"/>
              <w:b w:val="0"/>
              <w:bCs/>
              <w:kern w:val="44"/>
            </w:rPr>
            <w:t>保障措施</w:t>
          </w:r>
          <w:r>
            <w:rPr>
              <w:b w:val="0"/>
            </w:rPr>
            <w:tab/>
          </w:r>
          <w:r>
            <w:rPr>
              <w:b w:val="0"/>
            </w:rPr>
            <w:fldChar w:fldCharType="begin"/>
          </w:r>
          <w:r>
            <w:rPr>
              <w:b w:val="0"/>
            </w:rPr>
            <w:instrText xml:space="preserve"> PAGEREF _Toc91670011 \h </w:instrText>
          </w:r>
          <w:r>
            <w:rPr>
              <w:b w:val="0"/>
            </w:rPr>
            <w:fldChar w:fldCharType="separate"/>
          </w:r>
          <w:r>
            <w:rPr>
              <w:b w:val="0"/>
            </w:rPr>
            <w:t>49</w:t>
          </w:r>
          <w:r>
            <w:rPr>
              <w:b w:val="0"/>
            </w:rPr>
            <w:fldChar w:fldCharType="end"/>
          </w:r>
          <w:r>
            <w:rPr>
              <w:b w:val="0"/>
            </w:rPr>
            <w:fldChar w:fldCharType="end"/>
          </w:r>
        </w:p>
        <w:p>
          <w:pPr>
            <w:pStyle w:val="21"/>
            <w:rPr>
              <w:rFonts w:ascii="仿宋" w:hAnsi="仿宋"/>
            </w:rPr>
          </w:pPr>
          <w:r>
            <w:fldChar w:fldCharType="begin"/>
          </w:r>
          <w:r>
            <w:instrText xml:space="preserve"> HYPERLINK \l "_Toc91670012" </w:instrText>
          </w:r>
          <w:r>
            <w:fldChar w:fldCharType="separate"/>
          </w:r>
          <w:r>
            <w:rPr>
              <w:rStyle w:val="28"/>
              <w:rFonts w:hint="eastAsia" w:ascii="仿宋" w:hAnsi="仿宋" w:cs="Times New Roman"/>
              <w:bCs/>
            </w:rPr>
            <w:t>一、健全组织实施机制</w:t>
          </w:r>
          <w:r>
            <w:rPr>
              <w:rFonts w:ascii="仿宋" w:hAnsi="仿宋"/>
            </w:rPr>
            <w:tab/>
          </w:r>
          <w:r>
            <w:rPr>
              <w:rFonts w:ascii="仿宋" w:hAnsi="仿宋"/>
            </w:rPr>
            <w:fldChar w:fldCharType="begin"/>
          </w:r>
          <w:r>
            <w:rPr>
              <w:rFonts w:ascii="仿宋" w:hAnsi="仿宋"/>
            </w:rPr>
            <w:instrText xml:space="preserve"> PAGEREF _Toc91670012 \h </w:instrText>
          </w:r>
          <w:r>
            <w:rPr>
              <w:rFonts w:ascii="仿宋" w:hAnsi="仿宋"/>
            </w:rPr>
            <w:fldChar w:fldCharType="separate"/>
          </w:r>
          <w:r>
            <w:rPr>
              <w:rFonts w:ascii="仿宋" w:hAnsi="仿宋"/>
            </w:rPr>
            <w:t>49</w:t>
          </w:r>
          <w:r>
            <w:rPr>
              <w:rFonts w:ascii="仿宋" w:hAnsi="仿宋"/>
            </w:rPr>
            <w:fldChar w:fldCharType="end"/>
          </w:r>
          <w:r>
            <w:rPr>
              <w:rFonts w:ascii="仿宋" w:hAnsi="仿宋"/>
            </w:rPr>
            <w:fldChar w:fldCharType="end"/>
          </w:r>
        </w:p>
        <w:p>
          <w:pPr>
            <w:pStyle w:val="11"/>
            <w:rPr>
              <w:rFonts w:ascii="仿宋" w:hAnsi="仿宋"/>
            </w:rPr>
          </w:pPr>
          <w:r>
            <w:fldChar w:fldCharType="begin"/>
          </w:r>
          <w:r>
            <w:instrText xml:space="preserve"> HYPERLINK \l "_Toc91670013" </w:instrText>
          </w:r>
          <w:r>
            <w:fldChar w:fldCharType="separate"/>
          </w:r>
          <w:r>
            <w:rPr>
              <w:rStyle w:val="28"/>
              <w:rFonts w:hint="eastAsia" w:ascii="仿宋" w:hAnsi="仿宋" w:cs="Times New Roman"/>
              <w:bCs/>
            </w:rPr>
            <w:t>（一）加强组织协调</w:t>
          </w:r>
          <w:r>
            <w:rPr>
              <w:rFonts w:ascii="仿宋" w:hAnsi="仿宋"/>
            </w:rPr>
            <w:tab/>
          </w:r>
          <w:r>
            <w:rPr>
              <w:rFonts w:ascii="仿宋" w:hAnsi="仿宋"/>
            </w:rPr>
            <w:fldChar w:fldCharType="begin"/>
          </w:r>
          <w:r>
            <w:rPr>
              <w:rFonts w:ascii="仿宋" w:hAnsi="仿宋"/>
            </w:rPr>
            <w:instrText xml:space="preserve"> PAGEREF _Toc91670013 \h </w:instrText>
          </w:r>
          <w:r>
            <w:rPr>
              <w:rFonts w:ascii="仿宋" w:hAnsi="仿宋"/>
            </w:rPr>
            <w:fldChar w:fldCharType="separate"/>
          </w:r>
          <w:r>
            <w:rPr>
              <w:rFonts w:ascii="仿宋" w:hAnsi="仿宋"/>
            </w:rPr>
            <w:t>49</w:t>
          </w:r>
          <w:r>
            <w:rPr>
              <w:rFonts w:ascii="仿宋" w:hAnsi="仿宋"/>
            </w:rPr>
            <w:fldChar w:fldCharType="end"/>
          </w:r>
          <w:r>
            <w:rPr>
              <w:rFonts w:ascii="仿宋" w:hAnsi="仿宋"/>
            </w:rPr>
            <w:fldChar w:fldCharType="end"/>
          </w:r>
        </w:p>
        <w:p>
          <w:pPr>
            <w:pStyle w:val="11"/>
            <w:rPr>
              <w:rFonts w:ascii="仿宋" w:hAnsi="仿宋"/>
            </w:rPr>
          </w:pPr>
          <w:r>
            <w:fldChar w:fldCharType="begin"/>
          </w:r>
          <w:r>
            <w:instrText xml:space="preserve"> HYPERLINK \l "_Toc91670014" </w:instrText>
          </w:r>
          <w:r>
            <w:fldChar w:fldCharType="separate"/>
          </w:r>
          <w:r>
            <w:rPr>
              <w:rStyle w:val="28"/>
              <w:rFonts w:hint="eastAsia" w:ascii="仿宋" w:hAnsi="仿宋" w:cs="Times New Roman"/>
              <w:bCs/>
            </w:rPr>
            <w:t>（二）规范规划管理</w:t>
          </w:r>
          <w:r>
            <w:rPr>
              <w:rFonts w:ascii="仿宋" w:hAnsi="仿宋"/>
            </w:rPr>
            <w:tab/>
          </w:r>
          <w:r>
            <w:rPr>
              <w:rFonts w:ascii="仿宋" w:hAnsi="仿宋"/>
            </w:rPr>
            <w:fldChar w:fldCharType="begin"/>
          </w:r>
          <w:r>
            <w:rPr>
              <w:rFonts w:ascii="仿宋" w:hAnsi="仿宋"/>
            </w:rPr>
            <w:instrText xml:space="preserve"> PAGEREF _Toc91670014 \h </w:instrText>
          </w:r>
          <w:r>
            <w:rPr>
              <w:rFonts w:ascii="仿宋" w:hAnsi="仿宋"/>
            </w:rPr>
            <w:fldChar w:fldCharType="separate"/>
          </w:r>
          <w:r>
            <w:rPr>
              <w:rFonts w:ascii="仿宋" w:hAnsi="仿宋"/>
            </w:rPr>
            <w:t>49</w:t>
          </w:r>
          <w:r>
            <w:rPr>
              <w:rFonts w:ascii="仿宋" w:hAnsi="仿宋"/>
            </w:rPr>
            <w:fldChar w:fldCharType="end"/>
          </w:r>
          <w:r>
            <w:rPr>
              <w:rFonts w:ascii="仿宋" w:hAnsi="仿宋"/>
            </w:rPr>
            <w:fldChar w:fldCharType="end"/>
          </w:r>
        </w:p>
        <w:p>
          <w:pPr>
            <w:pStyle w:val="11"/>
            <w:rPr>
              <w:rFonts w:ascii="仿宋" w:hAnsi="仿宋"/>
            </w:rPr>
          </w:pPr>
          <w:r>
            <w:fldChar w:fldCharType="begin"/>
          </w:r>
          <w:r>
            <w:instrText xml:space="preserve"> HYPERLINK \l "_Toc91670015" </w:instrText>
          </w:r>
          <w:r>
            <w:fldChar w:fldCharType="separate"/>
          </w:r>
          <w:r>
            <w:rPr>
              <w:rStyle w:val="28"/>
              <w:rFonts w:hint="eastAsia" w:ascii="仿宋" w:hAnsi="仿宋" w:cs="Times New Roman"/>
              <w:bCs/>
            </w:rPr>
            <w:t>（三）强化监督考核</w:t>
          </w:r>
          <w:r>
            <w:rPr>
              <w:rFonts w:ascii="仿宋" w:hAnsi="仿宋"/>
            </w:rPr>
            <w:tab/>
          </w:r>
          <w:r>
            <w:rPr>
              <w:rFonts w:ascii="仿宋" w:hAnsi="仿宋"/>
            </w:rPr>
            <w:fldChar w:fldCharType="begin"/>
          </w:r>
          <w:r>
            <w:rPr>
              <w:rFonts w:ascii="仿宋" w:hAnsi="仿宋"/>
            </w:rPr>
            <w:instrText xml:space="preserve"> PAGEREF _Toc91670015 \h </w:instrText>
          </w:r>
          <w:r>
            <w:rPr>
              <w:rFonts w:ascii="仿宋" w:hAnsi="仿宋"/>
            </w:rPr>
            <w:fldChar w:fldCharType="separate"/>
          </w:r>
          <w:r>
            <w:rPr>
              <w:rFonts w:ascii="仿宋" w:hAnsi="仿宋"/>
            </w:rPr>
            <w:t>50</w:t>
          </w:r>
          <w:r>
            <w:rPr>
              <w:rFonts w:ascii="仿宋" w:hAnsi="仿宋"/>
            </w:rPr>
            <w:fldChar w:fldCharType="end"/>
          </w:r>
          <w:r>
            <w:rPr>
              <w:rFonts w:ascii="仿宋" w:hAnsi="仿宋"/>
            </w:rPr>
            <w:fldChar w:fldCharType="end"/>
          </w:r>
        </w:p>
        <w:p>
          <w:pPr>
            <w:pStyle w:val="21"/>
            <w:rPr>
              <w:rFonts w:ascii="仿宋" w:hAnsi="仿宋"/>
            </w:rPr>
          </w:pPr>
          <w:r>
            <w:fldChar w:fldCharType="begin"/>
          </w:r>
          <w:r>
            <w:instrText xml:space="preserve"> HYPERLINK \l "_Toc91670016" </w:instrText>
          </w:r>
          <w:r>
            <w:fldChar w:fldCharType="separate"/>
          </w:r>
          <w:r>
            <w:rPr>
              <w:rStyle w:val="28"/>
              <w:rFonts w:hint="eastAsia" w:ascii="仿宋" w:hAnsi="仿宋" w:cs="Times New Roman"/>
              <w:bCs/>
            </w:rPr>
            <w:t>二、推进供给侧结构性改革</w:t>
          </w:r>
          <w:r>
            <w:rPr>
              <w:rFonts w:ascii="仿宋" w:hAnsi="仿宋"/>
            </w:rPr>
            <w:tab/>
          </w:r>
          <w:r>
            <w:rPr>
              <w:rFonts w:ascii="仿宋" w:hAnsi="仿宋"/>
            </w:rPr>
            <w:fldChar w:fldCharType="begin"/>
          </w:r>
          <w:r>
            <w:rPr>
              <w:rFonts w:ascii="仿宋" w:hAnsi="仿宋"/>
            </w:rPr>
            <w:instrText xml:space="preserve"> PAGEREF _Toc91670016 \h </w:instrText>
          </w:r>
          <w:r>
            <w:rPr>
              <w:rFonts w:ascii="仿宋" w:hAnsi="仿宋"/>
            </w:rPr>
            <w:fldChar w:fldCharType="separate"/>
          </w:r>
          <w:r>
            <w:rPr>
              <w:rFonts w:ascii="仿宋" w:hAnsi="仿宋"/>
            </w:rPr>
            <w:t>50</w:t>
          </w:r>
          <w:r>
            <w:rPr>
              <w:rFonts w:ascii="仿宋" w:hAnsi="仿宋"/>
            </w:rPr>
            <w:fldChar w:fldCharType="end"/>
          </w:r>
          <w:r>
            <w:rPr>
              <w:rFonts w:ascii="仿宋" w:hAnsi="仿宋"/>
            </w:rPr>
            <w:fldChar w:fldCharType="end"/>
          </w:r>
        </w:p>
        <w:p>
          <w:pPr>
            <w:pStyle w:val="11"/>
            <w:rPr>
              <w:rFonts w:ascii="仿宋" w:hAnsi="仿宋"/>
            </w:rPr>
          </w:pPr>
          <w:r>
            <w:fldChar w:fldCharType="begin"/>
          </w:r>
          <w:r>
            <w:instrText xml:space="preserve"> HYPERLINK \l "_Toc91670017" </w:instrText>
          </w:r>
          <w:r>
            <w:fldChar w:fldCharType="separate"/>
          </w:r>
          <w:r>
            <w:rPr>
              <w:rStyle w:val="28"/>
              <w:rFonts w:hint="eastAsia" w:ascii="仿宋" w:hAnsi="仿宋" w:cs="Times New Roman"/>
              <w:bCs/>
            </w:rPr>
            <w:t>（一）促进结构调整</w:t>
          </w:r>
          <w:r>
            <w:rPr>
              <w:rFonts w:ascii="仿宋" w:hAnsi="仿宋"/>
            </w:rPr>
            <w:tab/>
          </w:r>
          <w:r>
            <w:rPr>
              <w:rFonts w:ascii="仿宋" w:hAnsi="仿宋"/>
            </w:rPr>
            <w:fldChar w:fldCharType="begin"/>
          </w:r>
          <w:r>
            <w:rPr>
              <w:rFonts w:ascii="仿宋" w:hAnsi="仿宋"/>
            </w:rPr>
            <w:instrText xml:space="preserve"> PAGEREF _Toc91670017 \h </w:instrText>
          </w:r>
          <w:r>
            <w:rPr>
              <w:rFonts w:ascii="仿宋" w:hAnsi="仿宋"/>
            </w:rPr>
            <w:fldChar w:fldCharType="separate"/>
          </w:r>
          <w:r>
            <w:rPr>
              <w:rFonts w:ascii="仿宋" w:hAnsi="仿宋"/>
            </w:rPr>
            <w:t>50</w:t>
          </w:r>
          <w:r>
            <w:rPr>
              <w:rFonts w:ascii="仿宋" w:hAnsi="仿宋"/>
            </w:rPr>
            <w:fldChar w:fldCharType="end"/>
          </w:r>
          <w:r>
            <w:rPr>
              <w:rFonts w:ascii="仿宋" w:hAnsi="仿宋"/>
            </w:rPr>
            <w:fldChar w:fldCharType="end"/>
          </w:r>
        </w:p>
        <w:p>
          <w:pPr>
            <w:pStyle w:val="11"/>
            <w:rPr>
              <w:rFonts w:ascii="仿宋" w:hAnsi="仿宋"/>
            </w:rPr>
          </w:pPr>
          <w:r>
            <w:fldChar w:fldCharType="begin"/>
          </w:r>
          <w:r>
            <w:instrText xml:space="preserve"> HYPERLINK \l "_Toc91670018" </w:instrText>
          </w:r>
          <w:r>
            <w:fldChar w:fldCharType="separate"/>
          </w:r>
          <w:r>
            <w:rPr>
              <w:rStyle w:val="28"/>
              <w:rFonts w:hint="eastAsia" w:ascii="仿宋" w:hAnsi="仿宋" w:cs="Times New Roman"/>
              <w:bCs/>
            </w:rPr>
            <w:t>（二）优化资源配置</w:t>
          </w:r>
          <w:r>
            <w:rPr>
              <w:rFonts w:ascii="仿宋" w:hAnsi="仿宋"/>
            </w:rPr>
            <w:tab/>
          </w:r>
          <w:r>
            <w:rPr>
              <w:rFonts w:ascii="仿宋" w:hAnsi="仿宋"/>
            </w:rPr>
            <w:fldChar w:fldCharType="begin"/>
          </w:r>
          <w:r>
            <w:rPr>
              <w:rFonts w:ascii="仿宋" w:hAnsi="仿宋"/>
            </w:rPr>
            <w:instrText xml:space="preserve"> PAGEREF _Toc91670018 \h </w:instrText>
          </w:r>
          <w:r>
            <w:rPr>
              <w:rFonts w:ascii="仿宋" w:hAnsi="仿宋"/>
            </w:rPr>
            <w:fldChar w:fldCharType="separate"/>
          </w:r>
          <w:r>
            <w:rPr>
              <w:rFonts w:ascii="仿宋" w:hAnsi="仿宋"/>
            </w:rPr>
            <w:t>51</w:t>
          </w:r>
          <w:r>
            <w:rPr>
              <w:rFonts w:ascii="仿宋" w:hAnsi="仿宋"/>
            </w:rPr>
            <w:fldChar w:fldCharType="end"/>
          </w:r>
          <w:r>
            <w:rPr>
              <w:rFonts w:ascii="仿宋" w:hAnsi="仿宋"/>
            </w:rPr>
            <w:fldChar w:fldCharType="end"/>
          </w:r>
        </w:p>
        <w:p>
          <w:pPr>
            <w:pStyle w:val="21"/>
            <w:rPr>
              <w:rFonts w:ascii="仿宋" w:hAnsi="仿宋"/>
            </w:rPr>
          </w:pPr>
          <w:r>
            <w:fldChar w:fldCharType="begin"/>
          </w:r>
          <w:r>
            <w:instrText xml:space="preserve"> HYPERLINK \l "_Toc91670019" </w:instrText>
          </w:r>
          <w:r>
            <w:fldChar w:fldCharType="separate"/>
          </w:r>
          <w:r>
            <w:rPr>
              <w:rStyle w:val="28"/>
              <w:rFonts w:hint="eastAsia" w:ascii="仿宋" w:hAnsi="仿宋" w:cs="Times New Roman"/>
              <w:bCs/>
            </w:rPr>
            <w:t>三、完善人才支撑体系</w:t>
          </w:r>
          <w:r>
            <w:rPr>
              <w:rFonts w:ascii="仿宋" w:hAnsi="仿宋"/>
            </w:rPr>
            <w:tab/>
          </w:r>
          <w:r>
            <w:rPr>
              <w:rFonts w:ascii="仿宋" w:hAnsi="仿宋"/>
            </w:rPr>
            <w:fldChar w:fldCharType="begin"/>
          </w:r>
          <w:r>
            <w:rPr>
              <w:rFonts w:ascii="仿宋" w:hAnsi="仿宋"/>
            </w:rPr>
            <w:instrText xml:space="preserve"> PAGEREF _Toc91670019 \h </w:instrText>
          </w:r>
          <w:r>
            <w:rPr>
              <w:rFonts w:ascii="仿宋" w:hAnsi="仿宋"/>
            </w:rPr>
            <w:fldChar w:fldCharType="separate"/>
          </w:r>
          <w:r>
            <w:rPr>
              <w:rFonts w:ascii="仿宋" w:hAnsi="仿宋"/>
            </w:rPr>
            <w:t>51</w:t>
          </w:r>
          <w:r>
            <w:rPr>
              <w:rFonts w:ascii="仿宋" w:hAnsi="仿宋"/>
            </w:rPr>
            <w:fldChar w:fldCharType="end"/>
          </w:r>
          <w:r>
            <w:rPr>
              <w:rFonts w:ascii="仿宋" w:hAnsi="仿宋"/>
            </w:rPr>
            <w:fldChar w:fldCharType="end"/>
          </w:r>
        </w:p>
        <w:p>
          <w:pPr>
            <w:pStyle w:val="11"/>
            <w:rPr>
              <w:rFonts w:ascii="仿宋" w:hAnsi="仿宋"/>
            </w:rPr>
          </w:pPr>
          <w:r>
            <w:fldChar w:fldCharType="begin"/>
          </w:r>
          <w:r>
            <w:instrText xml:space="preserve"> HYPERLINK \l "_Toc91670020" </w:instrText>
          </w:r>
          <w:r>
            <w:fldChar w:fldCharType="separate"/>
          </w:r>
          <w:r>
            <w:rPr>
              <w:rStyle w:val="28"/>
              <w:rFonts w:hint="eastAsia" w:ascii="仿宋" w:hAnsi="仿宋" w:cs="Times New Roman"/>
              <w:bCs/>
            </w:rPr>
            <w:t>（一）持续开展人才回乡行动</w:t>
          </w:r>
          <w:r>
            <w:rPr>
              <w:rFonts w:ascii="仿宋" w:hAnsi="仿宋"/>
            </w:rPr>
            <w:tab/>
          </w:r>
          <w:r>
            <w:rPr>
              <w:rFonts w:ascii="仿宋" w:hAnsi="仿宋"/>
            </w:rPr>
            <w:fldChar w:fldCharType="begin"/>
          </w:r>
          <w:r>
            <w:rPr>
              <w:rFonts w:ascii="仿宋" w:hAnsi="仿宋"/>
            </w:rPr>
            <w:instrText xml:space="preserve"> PAGEREF _Toc91670020 \h </w:instrText>
          </w:r>
          <w:r>
            <w:rPr>
              <w:rFonts w:ascii="仿宋" w:hAnsi="仿宋"/>
            </w:rPr>
            <w:fldChar w:fldCharType="separate"/>
          </w:r>
          <w:r>
            <w:rPr>
              <w:rFonts w:ascii="仿宋" w:hAnsi="仿宋"/>
            </w:rPr>
            <w:t>51</w:t>
          </w:r>
          <w:r>
            <w:rPr>
              <w:rFonts w:ascii="仿宋" w:hAnsi="仿宋"/>
            </w:rPr>
            <w:fldChar w:fldCharType="end"/>
          </w:r>
          <w:r>
            <w:rPr>
              <w:rFonts w:ascii="仿宋" w:hAnsi="仿宋"/>
            </w:rPr>
            <w:fldChar w:fldCharType="end"/>
          </w:r>
        </w:p>
        <w:p>
          <w:pPr>
            <w:pStyle w:val="11"/>
            <w:rPr>
              <w:rFonts w:ascii="仿宋" w:hAnsi="仿宋"/>
            </w:rPr>
          </w:pPr>
          <w:r>
            <w:fldChar w:fldCharType="begin"/>
          </w:r>
          <w:r>
            <w:instrText xml:space="preserve"> HYPERLINK \l "_Toc91670021" </w:instrText>
          </w:r>
          <w:r>
            <w:fldChar w:fldCharType="separate"/>
          </w:r>
          <w:r>
            <w:rPr>
              <w:rStyle w:val="28"/>
              <w:rFonts w:hint="eastAsia" w:ascii="仿宋" w:hAnsi="仿宋" w:cs="Times New Roman"/>
              <w:bCs/>
            </w:rPr>
            <w:t>（二）大力开展技工教育</w:t>
          </w:r>
          <w:r>
            <w:rPr>
              <w:rFonts w:ascii="仿宋" w:hAnsi="仿宋"/>
            </w:rPr>
            <w:tab/>
          </w:r>
          <w:r>
            <w:rPr>
              <w:rFonts w:ascii="仿宋" w:hAnsi="仿宋"/>
            </w:rPr>
            <w:fldChar w:fldCharType="begin"/>
          </w:r>
          <w:r>
            <w:rPr>
              <w:rFonts w:ascii="仿宋" w:hAnsi="仿宋"/>
            </w:rPr>
            <w:instrText xml:space="preserve"> PAGEREF _Toc91670021 \h </w:instrText>
          </w:r>
          <w:r>
            <w:rPr>
              <w:rFonts w:ascii="仿宋" w:hAnsi="仿宋"/>
            </w:rPr>
            <w:fldChar w:fldCharType="separate"/>
          </w:r>
          <w:r>
            <w:rPr>
              <w:rFonts w:ascii="仿宋" w:hAnsi="仿宋"/>
            </w:rPr>
            <w:t>51</w:t>
          </w:r>
          <w:r>
            <w:rPr>
              <w:rFonts w:ascii="仿宋" w:hAnsi="仿宋"/>
            </w:rPr>
            <w:fldChar w:fldCharType="end"/>
          </w:r>
          <w:r>
            <w:rPr>
              <w:rFonts w:ascii="仿宋" w:hAnsi="仿宋"/>
            </w:rPr>
            <w:fldChar w:fldCharType="end"/>
          </w:r>
        </w:p>
        <w:p>
          <w:pPr>
            <w:pStyle w:val="21"/>
            <w:rPr>
              <w:rFonts w:ascii="仿宋" w:hAnsi="仿宋"/>
            </w:rPr>
          </w:pPr>
          <w:r>
            <w:fldChar w:fldCharType="begin"/>
          </w:r>
          <w:r>
            <w:instrText xml:space="preserve"> HYPERLINK \l "_Toc91670022" </w:instrText>
          </w:r>
          <w:r>
            <w:fldChar w:fldCharType="separate"/>
          </w:r>
          <w:r>
            <w:rPr>
              <w:rStyle w:val="28"/>
              <w:rFonts w:hint="eastAsia" w:ascii="仿宋" w:hAnsi="仿宋" w:cs="Times New Roman"/>
              <w:bCs/>
            </w:rPr>
            <w:t>四、搭建资金保障体系</w:t>
          </w:r>
          <w:r>
            <w:rPr>
              <w:rFonts w:ascii="仿宋" w:hAnsi="仿宋"/>
            </w:rPr>
            <w:tab/>
          </w:r>
          <w:r>
            <w:rPr>
              <w:rFonts w:ascii="仿宋" w:hAnsi="仿宋"/>
            </w:rPr>
            <w:fldChar w:fldCharType="begin"/>
          </w:r>
          <w:r>
            <w:rPr>
              <w:rFonts w:ascii="仿宋" w:hAnsi="仿宋"/>
            </w:rPr>
            <w:instrText xml:space="preserve"> PAGEREF _Toc91670022 \h </w:instrText>
          </w:r>
          <w:r>
            <w:rPr>
              <w:rFonts w:ascii="仿宋" w:hAnsi="仿宋"/>
            </w:rPr>
            <w:fldChar w:fldCharType="separate"/>
          </w:r>
          <w:r>
            <w:rPr>
              <w:rFonts w:ascii="仿宋" w:hAnsi="仿宋"/>
            </w:rPr>
            <w:t>52</w:t>
          </w:r>
          <w:r>
            <w:rPr>
              <w:rFonts w:ascii="仿宋" w:hAnsi="仿宋"/>
            </w:rPr>
            <w:fldChar w:fldCharType="end"/>
          </w:r>
          <w:r>
            <w:rPr>
              <w:rFonts w:ascii="仿宋" w:hAnsi="仿宋"/>
            </w:rPr>
            <w:fldChar w:fldCharType="end"/>
          </w:r>
        </w:p>
        <w:p>
          <w:pPr>
            <w:pStyle w:val="11"/>
            <w:rPr>
              <w:rFonts w:ascii="仿宋" w:hAnsi="仿宋"/>
            </w:rPr>
          </w:pPr>
          <w:r>
            <w:fldChar w:fldCharType="begin"/>
          </w:r>
          <w:r>
            <w:instrText xml:space="preserve"> HYPERLINK \l "_Toc91670023" </w:instrText>
          </w:r>
          <w:r>
            <w:fldChar w:fldCharType="separate"/>
          </w:r>
          <w:r>
            <w:rPr>
              <w:rStyle w:val="28"/>
              <w:rFonts w:hint="eastAsia" w:ascii="仿宋" w:hAnsi="仿宋" w:cs="Times New Roman"/>
              <w:bCs/>
            </w:rPr>
            <w:t>（一）积极发展产业引导基金</w:t>
          </w:r>
          <w:r>
            <w:rPr>
              <w:rFonts w:ascii="仿宋" w:hAnsi="仿宋"/>
            </w:rPr>
            <w:tab/>
          </w:r>
          <w:r>
            <w:rPr>
              <w:rFonts w:ascii="仿宋" w:hAnsi="仿宋"/>
            </w:rPr>
            <w:fldChar w:fldCharType="begin"/>
          </w:r>
          <w:r>
            <w:rPr>
              <w:rFonts w:ascii="仿宋" w:hAnsi="仿宋"/>
            </w:rPr>
            <w:instrText xml:space="preserve"> PAGEREF _Toc91670023 \h </w:instrText>
          </w:r>
          <w:r>
            <w:rPr>
              <w:rFonts w:ascii="仿宋" w:hAnsi="仿宋"/>
            </w:rPr>
            <w:fldChar w:fldCharType="separate"/>
          </w:r>
          <w:r>
            <w:rPr>
              <w:rFonts w:ascii="仿宋" w:hAnsi="仿宋"/>
            </w:rPr>
            <w:t>52</w:t>
          </w:r>
          <w:r>
            <w:rPr>
              <w:rFonts w:ascii="仿宋" w:hAnsi="仿宋"/>
            </w:rPr>
            <w:fldChar w:fldCharType="end"/>
          </w:r>
          <w:r>
            <w:rPr>
              <w:rFonts w:ascii="仿宋" w:hAnsi="仿宋"/>
            </w:rPr>
            <w:fldChar w:fldCharType="end"/>
          </w:r>
        </w:p>
        <w:p>
          <w:pPr>
            <w:pStyle w:val="11"/>
            <w:rPr>
              <w:rFonts w:ascii="仿宋" w:hAnsi="仿宋"/>
            </w:rPr>
          </w:pPr>
          <w:r>
            <w:fldChar w:fldCharType="begin"/>
          </w:r>
          <w:r>
            <w:instrText xml:space="preserve"> HYPERLINK \l "_Toc91670024" </w:instrText>
          </w:r>
          <w:r>
            <w:fldChar w:fldCharType="separate"/>
          </w:r>
          <w:r>
            <w:rPr>
              <w:rStyle w:val="28"/>
              <w:rFonts w:hint="eastAsia" w:ascii="仿宋" w:hAnsi="仿宋" w:cs="Times New Roman"/>
              <w:bCs/>
            </w:rPr>
            <w:t>（二）大力发展多层次资本市场</w:t>
          </w:r>
          <w:r>
            <w:rPr>
              <w:rFonts w:ascii="仿宋" w:hAnsi="仿宋"/>
            </w:rPr>
            <w:tab/>
          </w:r>
          <w:r>
            <w:rPr>
              <w:rFonts w:ascii="仿宋" w:hAnsi="仿宋"/>
            </w:rPr>
            <w:fldChar w:fldCharType="begin"/>
          </w:r>
          <w:r>
            <w:rPr>
              <w:rFonts w:ascii="仿宋" w:hAnsi="仿宋"/>
            </w:rPr>
            <w:instrText xml:space="preserve"> PAGEREF _Toc91670024 \h </w:instrText>
          </w:r>
          <w:r>
            <w:rPr>
              <w:rFonts w:ascii="仿宋" w:hAnsi="仿宋"/>
            </w:rPr>
            <w:fldChar w:fldCharType="separate"/>
          </w:r>
          <w:r>
            <w:rPr>
              <w:rFonts w:ascii="仿宋" w:hAnsi="仿宋"/>
            </w:rPr>
            <w:t>52</w:t>
          </w:r>
          <w:r>
            <w:rPr>
              <w:rFonts w:ascii="仿宋" w:hAnsi="仿宋"/>
            </w:rPr>
            <w:fldChar w:fldCharType="end"/>
          </w:r>
          <w:r>
            <w:rPr>
              <w:rFonts w:ascii="仿宋" w:hAnsi="仿宋"/>
            </w:rPr>
            <w:fldChar w:fldCharType="end"/>
          </w:r>
        </w:p>
        <w:p>
          <w:pPr>
            <w:pStyle w:val="11"/>
            <w:rPr>
              <w:rFonts w:ascii="仿宋" w:hAnsi="仿宋"/>
            </w:rPr>
          </w:pPr>
          <w:r>
            <w:fldChar w:fldCharType="begin"/>
          </w:r>
          <w:r>
            <w:instrText xml:space="preserve"> HYPERLINK \l "_Toc91670025" </w:instrText>
          </w:r>
          <w:r>
            <w:fldChar w:fldCharType="separate"/>
          </w:r>
          <w:r>
            <w:rPr>
              <w:rStyle w:val="28"/>
              <w:rFonts w:hint="eastAsia" w:ascii="仿宋" w:hAnsi="仿宋" w:cs="Times New Roman"/>
              <w:bCs/>
            </w:rPr>
            <w:t>（三）加快创新金融服务方式</w:t>
          </w:r>
          <w:r>
            <w:rPr>
              <w:rFonts w:ascii="仿宋" w:hAnsi="仿宋"/>
            </w:rPr>
            <w:tab/>
          </w:r>
          <w:r>
            <w:rPr>
              <w:rFonts w:ascii="仿宋" w:hAnsi="仿宋"/>
            </w:rPr>
            <w:fldChar w:fldCharType="begin"/>
          </w:r>
          <w:r>
            <w:rPr>
              <w:rFonts w:ascii="仿宋" w:hAnsi="仿宋"/>
            </w:rPr>
            <w:instrText xml:space="preserve"> PAGEREF _Toc91670025 \h </w:instrText>
          </w:r>
          <w:r>
            <w:rPr>
              <w:rFonts w:ascii="仿宋" w:hAnsi="仿宋"/>
            </w:rPr>
            <w:fldChar w:fldCharType="separate"/>
          </w:r>
          <w:r>
            <w:rPr>
              <w:rFonts w:ascii="仿宋" w:hAnsi="仿宋"/>
            </w:rPr>
            <w:t>53</w:t>
          </w:r>
          <w:r>
            <w:rPr>
              <w:rFonts w:ascii="仿宋" w:hAnsi="仿宋"/>
            </w:rPr>
            <w:fldChar w:fldCharType="end"/>
          </w:r>
          <w:r>
            <w:rPr>
              <w:rFonts w:ascii="仿宋" w:hAnsi="仿宋"/>
            </w:rPr>
            <w:fldChar w:fldCharType="end"/>
          </w:r>
        </w:p>
        <w:p>
          <w:pPr>
            <w:pStyle w:val="21"/>
            <w:rPr>
              <w:rFonts w:ascii="仿宋" w:hAnsi="仿宋"/>
            </w:rPr>
          </w:pPr>
          <w:r>
            <w:fldChar w:fldCharType="begin"/>
          </w:r>
          <w:r>
            <w:instrText xml:space="preserve"> HYPERLINK \l "_Toc91670026" </w:instrText>
          </w:r>
          <w:r>
            <w:fldChar w:fldCharType="separate"/>
          </w:r>
          <w:r>
            <w:rPr>
              <w:rStyle w:val="28"/>
              <w:rFonts w:hint="eastAsia" w:ascii="仿宋" w:hAnsi="仿宋" w:cs="Times New Roman"/>
              <w:bCs/>
            </w:rPr>
            <w:t>五、加强产业品牌宣传</w:t>
          </w:r>
          <w:r>
            <w:rPr>
              <w:rFonts w:ascii="仿宋" w:hAnsi="仿宋"/>
            </w:rPr>
            <w:tab/>
          </w:r>
          <w:r>
            <w:rPr>
              <w:rFonts w:ascii="仿宋" w:hAnsi="仿宋"/>
            </w:rPr>
            <w:fldChar w:fldCharType="begin"/>
          </w:r>
          <w:r>
            <w:rPr>
              <w:rFonts w:ascii="仿宋" w:hAnsi="仿宋"/>
            </w:rPr>
            <w:instrText xml:space="preserve"> PAGEREF _Toc91670026 \h </w:instrText>
          </w:r>
          <w:r>
            <w:rPr>
              <w:rFonts w:ascii="仿宋" w:hAnsi="仿宋"/>
            </w:rPr>
            <w:fldChar w:fldCharType="separate"/>
          </w:r>
          <w:r>
            <w:rPr>
              <w:rFonts w:ascii="仿宋" w:hAnsi="仿宋"/>
            </w:rPr>
            <w:t>53</w:t>
          </w:r>
          <w:r>
            <w:rPr>
              <w:rFonts w:ascii="仿宋" w:hAnsi="仿宋"/>
            </w:rPr>
            <w:fldChar w:fldCharType="end"/>
          </w:r>
          <w:r>
            <w:rPr>
              <w:rFonts w:ascii="仿宋" w:hAnsi="仿宋"/>
            </w:rPr>
            <w:fldChar w:fldCharType="end"/>
          </w:r>
        </w:p>
        <w:p>
          <w:pPr>
            <w:pStyle w:val="11"/>
            <w:rPr>
              <w:rFonts w:ascii="仿宋" w:hAnsi="仿宋"/>
            </w:rPr>
          </w:pPr>
          <w:r>
            <w:fldChar w:fldCharType="begin"/>
          </w:r>
          <w:r>
            <w:instrText xml:space="preserve"> HYPERLINK \l "_Toc91670027" </w:instrText>
          </w:r>
          <w:r>
            <w:fldChar w:fldCharType="separate"/>
          </w:r>
          <w:r>
            <w:rPr>
              <w:rStyle w:val="28"/>
              <w:rFonts w:hint="eastAsia" w:ascii="仿宋" w:hAnsi="仿宋" w:cs="Times New Roman"/>
              <w:bCs/>
            </w:rPr>
            <w:t>（一）打造闽侯工业品牌名片</w:t>
          </w:r>
          <w:r>
            <w:rPr>
              <w:rFonts w:ascii="仿宋" w:hAnsi="仿宋"/>
            </w:rPr>
            <w:tab/>
          </w:r>
          <w:r>
            <w:rPr>
              <w:rFonts w:ascii="仿宋" w:hAnsi="仿宋"/>
            </w:rPr>
            <w:fldChar w:fldCharType="begin"/>
          </w:r>
          <w:r>
            <w:rPr>
              <w:rFonts w:ascii="仿宋" w:hAnsi="仿宋"/>
            </w:rPr>
            <w:instrText xml:space="preserve"> PAGEREF _Toc91670027 \h </w:instrText>
          </w:r>
          <w:r>
            <w:rPr>
              <w:rFonts w:ascii="仿宋" w:hAnsi="仿宋"/>
            </w:rPr>
            <w:fldChar w:fldCharType="separate"/>
          </w:r>
          <w:r>
            <w:rPr>
              <w:rFonts w:ascii="仿宋" w:hAnsi="仿宋"/>
            </w:rPr>
            <w:t>53</w:t>
          </w:r>
          <w:r>
            <w:rPr>
              <w:rFonts w:ascii="仿宋" w:hAnsi="仿宋"/>
            </w:rPr>
            <w:fldChar w:fldCharType="end"/>
          </w:r>
          <w:r>
            <w:rPr>
              <w:rFonts w:ascii="仿宋" w:hAnsi="仿宋"/>
            </w:rPr>
            <w:fldChar w:fldCharType="end"/>
          </w:r>
        </w:p>
        <w:p>
          <w:pPr>
            <w:pStyle w:val="11"/>
            <w:rPr>
              <w:rFonts w:ascii="仿宋" w:hAnsi="仿宋"/>
            </w:rPr>
          </w:pPr>
          <w:r>
            <w:fldChar w:fldCharType="begin"/>
          </w:r>
          <w:r>
            <w:instrText xml:space="preserve"> HYPERLINK \l "_Toc91670028" </w:instrText>
          </w:r>
          <w:r>
            <w:fldChar w:fldCharType="separate"/>
          </w:r>
          <w:r>
            <w:rPr>
              <w:rStyle w:val="28"/>
              <w:rFonts w:hint="eastAsia" w:ascii="仿宋" w:hAnsi="仿宋" w:cs="Times New Roman"/>
              <w:bCs/>
            </w:rPr>
            <w:t>（二）建设多元立体化宣传体系</w:t>
          </w:r>
          <w:r>
            <w:rPr>
              <w:rFonts w:ascii="仿宋" w:hAnsi="仿宋"/>
            </w:rPr>
            <w:tab/>
          </w:r>
          <w:r>
            <w:rPr>
              <w:rFonts w:ascii="仿宋" w:hAnsi="仿宋"/>
            </w:rPr>
            <w:fldChar w:fldCharType="begin"/>
          </w:r>
          <w:r>
            <w:rPr>
              <w:rFonts w:ascii="仿宋" w:hAnsi="仿宋"/>
            </w:rPr>
            <w:instrText xml:space="preserve"> PAGEREF _Toc91670028 \h </w:instrText>
          </w:r>
          <w:r>
            <w:rPr>
              <w:rFonts w:ascii="仿宋" w:hAnsi="仿宋"/>
            </w:rPr>
            <w:fldChar w:fldCharType="separate"/>
          </w:r>
          <w:r>
            <w:rPr>
              <w:rFonts w:ascii="仿宋" w:hAnsi="仿宋"/>
            </w:rPr>
            <w:t>54</w:t>
          </w:r>
          <w:r>
            <w:rPr>
              <w:rFonts w:ascii="仿宋" w:hAnsi="仿宋"/>
            </w:rPr>
            <w:fldChar w:fldCharType="end"/>
          </w:r>
          <w:r>
            <w:rPr>
              <w:rFonts w:ascii="仿宋" w:hAnsi="仿宋"/>
            </w:rPr>
            <w:fldChar w:fldCharType="end"/>
          </w:r>
        </w:p>
        <w:p>
          <w:pPr>
            <w:pStyle w:val="21"/>
            <w:rPr>
              <w:rFonts w:ascii="仿宋" w:hAnsi="仿宋"/>
            </w:rPr>
          </w:pPr>
          <w:r>
            <w:fldChar w:fldCharType="begin"/>
          </w:r>
          <w:r>
            <w:instrText xml:space="preserve"> HYPERLINK \l "_Toc91670029" </w:instrText>
          </w:r>
          <w:r>
            <w:fldChar w:fldCharType="separate"/>
          </w:r>
          <w:r>
            <w:rPr>
              <w:rStyle w:val="28"/>
              <w:rFonts w:hint="eastAsia" w:ascii="仿宋" w:hAnsi="仿宋" w:cs="Times New Roman"/>
              <w:bCs/>
            </w:rPr>
            <w:t>六、完善落实扶持政策</w:t>
          </w:r>
          <w:r>
            <w:rPr>
              <w:rFonts w:ascii="仿宋" w:hAnsi="仿宋"/>
            </w:rPr>
            <w:tab/>
          </w:r>
          <w:r>
            <w:rPr>
              <w:rFonts w:ascii="仿宋" w:hAnsi="仿宋"/>
            </w:rPr>
            <w:fldChar w:fldCharType="begin"/>
          </w:r>
          <w:r>
            <w:rPr>
              <w:rFonts w:ascii="仿宋" w:hAnsi="仿宋"/>
            </w:rPr>
            <w:instrText xml:space="preserve"> PAGEREF _Toc91670029 \h </w:instrText>
          </w:r>
          <w:r>
            <w:rPr>
              <w:rFonts w:ascii="仿宋" w:hAnsi="仿宋"/>
            </w:rPr>
            <w:fldChar w:fldCharType="separate"/>
          </w:r>
          <w:r>
            <w:rPr>
              <w:rFonts w:ascii="仿宋" w:hAnsi="仿宋"/>
            </w:rPr>
            <w:t>54</w:t>
          </w:r>
          <w:r>
            <w:rPr>
              <w:rFonts w:ascii="仿宋" w:hAnsi="仿宋"/>
            </w:rPr>
            <w:fldChar w:fldCharType="end"/>
          </w:r>
          <w:r>
            <w:rPr>
              <w:rFonts w:ascii="仿宋" w:hAnsi="仿宋"/>
            </w:rPr>
            <w:fldChar w:fldCharType="end"/>
          </w:r>
        </w:p>
        <w:p>
          <w:pPr>
            <w:pStyle w:val="11"/>
            <w:rPr>
              <w:rFonts w:ascii="仿宋" w:hAnsi="仿宋"/>
            </w:rPr>
          </w:pPr>
          <w:r>
            <w:fldChar w:fldCharType="begin"/>
          </w:r>
          <w:r>
            <w:instrText xml:space="preserve"> HYPERLINK \l "_Toc91670030" </w:instrText>
          </w:r>
          <w:r>
            <w:fldChar w:fldCharType="separate"/>
          </w:r>
          <w:r>
            <w:rPr>
              <w:rStyle w:val="28"/>
              <w:rFonts w:hint="eastAsia" w:ascii="仿宋" w:hAnsi="仿宋" w:cs="Times New Roman"/>
              <w:bCs/>
            </w:rPr>
            <w:t>（一）用好用足扶持政策</w:t>
          </w:r>
          <w:r>
            <w:rPr>
              <w:rFonts w:ascii="仿宋" w:hAnsi="仿宋"/>
            </w:rPr>
            <w:tab/>
          </w:r>
          <w:r>
            <w:rPr>
              <w:rFonts w:ascii="仿宋" w:hAnsi="仿宋"/>
            </w:rPr>
            <w:fldChar w:fldCharType="begin"/>
          </w:r>
          <w:r>
            <w:rPr>
              <w:rFonts w:ascii="仿宋" w:hAnsi="仿宋"/>
            </w:rPr>
            <w:instrText xml:space="preserve"> PAGEREF _Toc91670030 \h </w:instrText>
          </w:r>
          <w:r>
            <w:rPr>
              <w:rFonts w:ascii="仿宋" w:hAnsi="仿宋"/>
            </w:rPr>
            <w:fldChar w:fldCharType="separate"/>
          </w:r>
          <w:r>
            <w:rPr>
              <w:rFonts w:ascii="仿宋" w:hAnsi="仿宋"/>
            </w:rPr>
            <w:t>54</w:t>
          </w:r>
          <w:r>
            <w:rPr>
              <w:rFonts w:ascii="仿宋" w:hAnsi="仿宋"/>
            </w:rPr>
            <w:fldChar w:fldCharType="end"/>
          </w:r>
          <w:r>
            <w:rPr>
              <w:rFonts w:ascii="仿宋" w:hAnsi="仿宋"/>
            </w:rPr>
            <w:fldChar w:fldCharType="end"/>
          </w:r>
        </w:p>
        <w:p>
          <w:pPr>
            <w:pStyle w:val="11"/>
            <w:rPr>
              <w:rFonts w:ascii="仿宋" w:hAnsi="仿宋"/>
            </w:rPr>
          </w:pPr>
          <w:r>
            <w:fldChar w:fldCharType="begin"/>
          </w:r>
          <w:r>
            <w:instrText xml:space="preserve"> HYPERLINK \l "_Toc91670031" </w:instrText>
          </w:r>
          <w:r>
            <w:fldChar w:fldCharType="separate"/>
          </w:r>
          <w:r>
            <w:rPr>
              <w:rStyle w:val="28"/>
              <w:rFonts w:hint="eastAsia" w:ascii="仿宋" w:hAnsi="仿宋" w:cs="Times New Roman"/>
              <w:bCs/>
            </w:rPr>
            <w:t>（二）制定完善专项政策</w:t>
          </w:r>
          <w:r>
            <w:rPr>
              <w:rFonts w:ascii="仿宋" w:hAnsi="仿宋"/>
            </w:rPr>
            <w:tab/>
          </w:r>
          <w:r>
            <w:rPr>
              <w:rFonts w:ascii="仿宋" w:hAnsi="仿宋"/>
            </w:rPr>
            <w:fldChar w:fldCharType="begin"/>
          </w:r>
          <w:r>
            <w:rPr>
              <w:rFonts w:ascii="仿宋" w:hAnsi="仿宋"/>
            </w:rPr>
            <w:instrText xml:space="preserve"> PAGEREF _Toc91670031 \h </w:instrText>
          </w:r>
          <w:r>
            <w:rPr>
              <w:rFonts w:ascii="仿宋" w:hAnsi="仿宋"/>
            </w:rPr>
            <w:fldChar w:fldCharType="separate"/>
          </w:r>
          <w:r>
            <w:rPr>
              <w:rFonts w:ascii="仿宋" w:hAnsi="仿宋"/>
            </w:rPr>
            <w:t>55</w:t>
          </w:r>
          <w:r>
            <w:rPr>
              <w:rFonts w:ascii="仿宋" w:hAnsi="仿宋"/>
            </w:rPr>
            <w:fldChar w:fldCharType="end"/>
          </w:r>
          <w:r>
            <w:rPr>
              <w:rFonts w:ascii="仿宋" w:hAnsi="仿宋"/>
            </w:rPr>
            <w:fldChar w:fldCharType="end"/>
          </w:r>
        </w:p>
        <w:p>
          <w:pPr>
            <w:pStyle w:val="17"/>
            <w:rPr>
              <w:b w:val="0"/>
              <w:lang w:val="en-US"/>
            </w:rPr>
          </w:pPr>
          <w:r>
            <w:fldChar w:fldCharType="begin"/>
          </w:r>
          <w:r>
            <w:instrText xml:space="preserve"> HYPERLINK \l "_Toc91670032" </w:instrText>
          </w:r>
          <w:r>
            <w:fldChar w:fldCharType="separate"/>
          </w:r>
          <w:r>
            <w:rPr>
              <w:rStyle w:val="28"/>
              <w:rFonts w:hint="eastAsia" w:cs="Times New Roman"/>
              <w:b w:val="0"/>
              <w:bCs/>
              <w:kern w:val="44"/>
            </w:rPr>
            <w:t>附件</w:t>
          </w:r>
          <w:r>
            <w:rPr>
              <w:rStyle w:val="28"/>
              <w:rFonts w:cs="Times New Roman"/>
              <w:b w:val="0"/>
              <w:bCs/>
              <w:kern w:val="44"/>
            </w:rPr>
            <w:t xml:space="preserve"> </w:t>
          </w:r>
          <w:r>
            <w:rPr>
              <w:rStyle w:val="28"/>
              <w:rFonts w:hint="eastAsia" w:cs="Times New Roman"/>
              <w:b w:val="0"/>
              <w:bCs/>
              <w:kern w:val="44"/>
            </w:rPr>
            <w:t>闽侯县“十四五”期间工业和信息化领域重点项目清单（按时间降序）</w:t>
          </w:r>
          <w:r>
            <w:rPr>
              <w:b w:val="0"/>
            </w:rPr>
            <w:tab/>
          </w:r>
          <w:r>
            <w:rPr>
              <w:b w:val="0"/>
            </w:rPr>
            <w:fldChar w:fldCharType="begin"/>
          </w:r>
          <w:r>
            <w:rPr>
              <w:b w:val="0"/>
            </w:rPr>
            <w:instrText xml:space="preserve"> PAGEREF _Toc91670032 \h </w:instrText>
          </w:r>
          <w:r>
            <w:rPr>
              <w:b w:val="0"/>
            </w:rPr>
            <w:fldChar w:fldCharType="separate"/>
          </w:r>
          <w:r>
            <w:rPr>
              <w:b w:val="0"/>
            </w:rPr>
            <w:t>56</w:t>
          </w:r>
          <w:r>
            <w:rPr>
              <w:b w:val="0"/>
            </w:rPr>
            <w:fldChar w:fldCharType="end"/>
          </w:r>
          <w:r>
            <w:rPr>
              <w:b w:val="0"/>
            </w:rPr>
            <w:fldChar w:fldCharType="end"/>
          </w:r>
        </w:p>
        <w:p>
          <w:pPr>
            <w:rPr>
              <w:rFonts w:ascii="仿宋" w:hAnsi="仿宋" w:cs="Times New Roman"/>
            </w:rPr>
          </w:pPr>
          <w:r>
            <w:rPr>
              <w:rFonts w:ascii="仿宋" w:hAnsi="仿宋" w:cs="Times New Roman"/>
              <w:bCs/>
              <w:sz w:val="24"/>
              <w:szCs w:val="24"/>
              <w:lang w:val="zh-CN"/>
            </w:rPr>
            <w:fldChar w:fldCharType="end"/>
          </w:r>
        </w:p>
      </w:sdtContent>
    </w:sdt>
    <w:p>
      <w:pPr>
        <w:widowControl/>
        <w:jc w:val="left"/>
        <w:rPr>
          <w:rFonts w:ascii="Times New Roman" w:hAnsi="Times New Roman" w:cs="Times New Roman"/>
          <w:sz w:val="28"/>
          <w:szCs w:val="28"/>
        </w:rPr>
      </w:pPr>
    </w:p>
    <w:p>
      <w:pPr>
        <w:widowControl/>
        <w:jc w:val="left"/>
        <w:rPr>
          <w:rFonts w:ascii="Times New Roman" w:hAnsi="Times New Roman" w:cs="Times New Roman"/>
          <w:sz w:val="28"/>
          <w:szCs w:val="28"/>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p>
      <w:pPr>
        <w:keepNext/>
        <w:keepLines/>
        <w:spacing w:before="120" w:after="120" w:line="578" w:lineRule="auto"/>
        <w:jc w:val="center"/>
        <w:outlineLvl w:val="0"/>
        <w:rPr>
          <w:rFonts w:ascii="Times New Roman" w:hAnsi="Times New Roman" w:eastAsia="黑体" w:cs="Times New Roman"/>
          <w:b/>
          <w:bCs/>
          <w:kern w:val="44"/>
          <w:sz w:val="36"/>
          <w:szCs w:val="44"/>
        </w:rPr>
      </w:pPr>
      <w:bookmarkStart w:id="0" w:name="_Toc436735645"/>
      <w:bookmarkStart w:id="1" w:name="_Toc445134266"/>
      <w:bookmarkStart w:id="2" w:name="_Toc487466246"/>
      <w:bookmarkStart w:id="3" w:name="_Toc91669959"/>
      <w:bookmarkStart w:id="4" w:name="_Toc436735652"/>
      <w:bookmarkStart w:id="5" w:name="_Toc433896929"/>
      <w:bookmarkStart w:id="6" w:name="_Toc435107796"/>
      <w:bookmarkStart w:id="7" w:name="_Toc445134272"/>
      <w:r>
        <w:rPr>
          <w:rFonts w:ascii="Times New Roman" w:hAnsi="Times New Roman" w:eastAsia="黑体" w:cs="Times New Roman"/>
          <w:b/>
          <w:bCs/>
          <w:kern w:val="44"/>
          <w:sz w:val="36"/>
          <w:szCs w:val="44"/>
        </w:rPr>
        <w:t>第一章</w:t>
      </w:r>
      <w:r>
        <w:rPr>
          <w:rFonts w:hint="eastAsia" w:ascii="Times New Roman" w:hAnsi="Times New Roman" w:eastAsia="黑体" w:cs="Times New Roman"/>
          <w:b/>
          <w:bCs/>
          <w:kern w:val="44"/>
          <w:sz w:val="36"/>
          <w:szCs w:val="44"/>
        </w:rPr>
        <w:t xml:space="preserve"> </w:t>
      </w:r>
      <w:r>
        <w:rPr>
          <w:rFonts w:ascii="Times New Roman" w:hAnsi="Times New Roman" w:eastAsia="黑体" w:cs="Times New Roman"/>
          <w:b/>
          <w:bCs/>
          <w:kern w:val="44"/>
          <w:sz w:val="36"/>
          <w:szCs w:val="44"/>
        </w:rPr>
        <w:t>发展基础和</w:t>
      </w:r>
      <w:bookmarkEnd w:id="0"/>
      <w:bookmarkEnd w:id="1"/>
      <w:r>
        <w:rPr>
          <w:rFonts w:ascii="Times New Roman" w:hAnsi="Times New Roman" w:eastAsia="黑体" w:cs="Times New Roman"/>
          <w:b/>
          <w:bCs/>
          <w:kern w:val="44"/>
          <w:sz w:val="36"/>
          <w:szCs w:val="44"/>
        </w:rPr>
        <w:t>形势</w:t>
      </w:r>
      <w:bookmarkEnd w:id="2"/>
      <w:bookmarkEnd w:id="3"/>
    </w:p>
    <w:p>
      <w:pPr>
        <w:keepNext/>
        <w:keepLines/>
        <w:spacing w:before="120" w:after="120" w:line="360" w:lineRule="auto"/>
        <w:jc w:val="left"/>
        <w:outlineLvl w:val="1"/>
        <w:rPr>
          <w:rFonts w:ascii="Times New Roman" w:hAnsi="Times New Roman" w:eastAsia="黑体" w:cs="Times New Roman"/>
          <w:b/>
          <w:bCs/>
          <w:sz w:val="32"/>
          <w:szCs w:val="32"/>
        </w:rPr>
      </w:pPr>
      <w:bookmarkStart w:id="8" w:name="_Toc445134267"/>
      <w:bookmarkStart w:id="9" w:name="_Toc91669960"/>
      <w:bookmarkStart w:id="10" w:name="_Toc436735646"/>
      <w:bookmarkStart w:id="11" w:name="_Toc487466247"/>
      <w:r>
        <w:rPr>
          <w:rFonts w:ascii="Times New Roman" w:hAnsi="Times New Roman" w:eastAsia="黑体" w:cs="Times New Roman"/>
          <w:b/>
          <w:bCs/>
          <w:sz w:val="32"/>
          <w:szCs w:val="32"/>
        </w:rPr>
        <w:t>一、发展基础</w:t>
      </w:r>
      <w:bookmarkEnd w:id="8"/>
      <w:bookmarkEnd w:id="9"/>
      <w:bookmarkEnd w:id="10"/>
      <w:bookmarkEnd w:id="11"/>
    </w:p>
    <w:p>
      <w:pPr>
        <w:adjustRightInd w:val="0"/>
        <w:snapToGrid w:val="0"/>
        <w:spacing w:before="156" w:beforeLines="50" w:after="156" w:afterLines="50" w:line="360" w:lineRule="auto"/>
        <w:ind w:firstLine="560" w:firstLineChars="200"/>
        <w:rPr>
          <w:rFonts w:ascii="Times New Roman" w:hAnsi="Times New Roman" w:cs="Times New Roman"/>
          <w:color w:val="000000"/>
          <w:sz w:val="28"/>
          <w:szCs w:val="32"/>
        </w:rPr>
      </w:pPr>
      <w:r>
        <w:rPr>
          <w:rFonts w:hint="eastAsia" w:ascii="Times New Roman" w:hAnsi="Times New Roman" w:cs="Times New Roman"/>
          <w:color w:val="000000"/>
          <w:sz w:val="28"/>
          <w:szCs w:val="32"/>
        </w:rPr>
        <w:t>“</w:t>
      </w:r>
      <w:r>
        <w:rPr>
          <w:rFonts w:ascii="Times New Roman" w:hAnsi="Times New Roman" w:cs="Times New Roman"/>
          <w:color w:val="000000"/>
          <w:sz w:val="28"/>
          <w:szCs w:val="32"/>
        </w:rPr>
        <w:t>十三五</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期间，闽侯县工信系统全面贯彻落实中央、省、市</w:t>
      </w:r>
      <w:r>
        <w:rPr>
          <w:rFonts w:hint="eastAsia" w:ascii="Times New Roman" w:hAnsi="Times New Roman" w:cs="Times New Roman"/>
          <w:color w:val="000000"/>
          <w:sz w:val="28"/>
          <w:szCs w:val="32"/>
        </w:rPr>
        <w:t>、县</w:t>
      </w:r>
      <w:r>
        <w:rPr>
          <w:rFonts w:ascii="Times New Roman" w:hAnsi="Times New Roman" w:cs="Times New Roman"/>
          <w:color w:val="000000"/>
          <w:sz w:val="28"/>
          <w:szCs w:val="32"/>
        </w:rPr>
        <w:t>的决策部署，围绕工业和信息化经济发展目标，积极采取有力措施，努力化解不利因素，实现了工业经济在新常态下的平稳健康发展。</w:t>
      </w:r>
    </w:p>
    <w:p>
      <w:pPr>
        <w:adjustRightInd w:val="0"/>
        <w:snapToGrid w:val="0"/>
        <w:spacing w:before="156" w:beforeLines="50" w:after="156" w:afterLines="50" w:line="360" w:lineRule="auto"/>
        <w:ind w:firstLine="562" w:firstLineChars="200"/>
        <w:rPr>
          <w:rFonts w:ascii="Times New Roman" w:hAnsi="Times New Roman" w:cs="Times New Roman"/>
          <w:color w:val="000000"/>
          <w:sz w:val="28"/>
          <w:szCs w:val="32"/>
        </w:rPr>
      </w:pPr>
      <w:r>
        <w:rPr>
          <w:rFonts w:ascii="Times New Roman" w:hAnsi="Times New Roman" w:cs="Times New Roman"/>
          <w:b/>
          <w:color w:val="000000"/>
          <w:sz w:val="28"/>
          <w:szCs w:val="32"/>
        </w:rPr>
        <w:t>——工业经济实力不断提升。</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十三五</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期间，闽侯县工业</w:t>
      </w:r>
      <w:r>
        <w:rPr>
          <w:rFonts w:hint="eastAsia" w:ascii="Times New Roman" w:hAnsi="Times New Roman" w:cs="Times New Roman"/>
          <w:color w:val="000000"/>
          <w:sz w:val="28"/>
          <w:szCs w:val="32"/>
        </w:rPr>
        <w:t>持</w:t>
      </w:r>
      <w:r>
        <w:rPr>
          <w:rFonts w:ascii="Times New Roman" w:hAnsi="Times New Roman" w:cs="Times New Roman"/>
          <w:color w:val="000000"/>
          <w:sz w:val="28"/>
          <w:szCs w:val="32"/>
        </w:rPr>
        <w:t>续保持</w:t>
      </w:r>
      <w:r>
        <w:rPr>
          <w:rFonts w:hint="eastAsia" w:ascii="Times New Roman" w:hAnsi="Times New Roman" w:cs="Times New Roman"/>
          <w:color w:val="000000"/>
          <w:sz w:val="28"/>
          <w:szCs w:val="32"/>
        </w:rPr>
        <w:t>平稳</w:t>
      </w:r>
      <w:r>
        <w:rPr>
          <w:rFonts w:ascii="Times New Roman" w:hAnsi="Times New Roman" w:cs="Times New Roman"/>
          <w:color w:val="000000"/>
          <w:sz w:val="28"/>
          <w:szCs w:val="32"/>
        </w:rPr>
        <w:t>增长，2020年实现规模工业总产值1177.62亿元，是2015年的1.46倍，年均增长</w:t>
      </w:r>
      <w:r>
        <w:rPr>
          <w:rFonts w:hint="eastAsia" w:ascii="Times New Roman" w:hAnsi="Times New Roman" w:cs="Times New Roman"/>
          <w:color w:val="000000"/>
          <w:sz w:val="28"/>
          <w:szCs w:val="32"/>
        </w:rPr>
        <w:t>7</w:t>
      </w:r>
      <w:r>
        <w:rPr>
          <w:rFonts w:ascii="Times New Roman" w:hAnsi="Times New Roman" w:cs="Times New Roman"/>
          <w:color w:val="000000"/>
          <w:sz w:val="28"/>
          <w:szCs w:val="32"/>
        </w:rPr>
        <w:t>.8%。到2020年底，全县规模以上工业企业达478家，是2015年的1.42倍，其中归属于支柱产业的规上工业企业占比达83%。</w:t>
      </w:r>
    </w:p>
    <w:p>
      <w:pPr>
        <w:keepNext/>
        <w:spacing w:line="360" w:lineRule="auto"/>
        <w:jc w:val="center"/>
        <w:rPr>
          <w:rFonts w:ascii="Times New Roman" w:hAnsi="Times New Roman" w:eastAsia="黑体" w:cs="Times New Roman"/>
          <w:sz w:val="20"/>
          <w:szCs w:val="20"/>
        </w:rPr>
      </w:pPr>
      <w:r>
        <w:rPr>
          <w:rFonts w:ascii="Times New Roman" w:hAnsi="Times New Roman" w:eastAsia="黑体" w:cs="Times New Roman"/>
          <w:sz w:val="20"/>
          <w:szCs w:val="20"/>
        </w:rPr>
        <w:t>表</w:t>
      </w:r>
      <w:r>
        <w:rPr>
          <w:rFonts w:ascii="Times New Roman" w:hAnsi="Times New Roman" w:eastAsia="黑体" w:cs="Times New Roman"/>
          <w:sz w:val="20"/>
          <w:szCs w:val="20"/>
        </w:rPr>
        <w:fldChar w:fldCharType="begin"/>
      </w:r>
      <w:r>
        <w:rPr>
          <w:rFonts w:ascii="Times New Roman" w:hAnsi="Times New Roman" w:eastAsia="黑体" w:cs="Times New Roman"/>
          <w:sz w:val="20"/>
          <w:szCs w:val="20"/>
        </w:rPr>
        <w:instrText xml:space="preserve"> SEQ 表格 \* ARABIC </w:instrText>
      </w:r>
      <w:r>
        <w:rPr>
          <w:rFonts w:ascii="Times New Roman" w:hAnsi="Times New Roman" w:eastAsia="黑体" w:cs="Times New Roman"/>
          <w:sz w:val="20"/>
          <w:szCs w:val="20"/>
        </w:rPr>
        <w:fldChar w:fldCharType="separate"/>
      </w:r>
      <w:r>
        <w:rPr>
          <w:rFonts w:ascii="Times New Roman" w:hAnsi="Times New Roman" w:eastAsia="黑体" w:cs="Times New Roman"/>
          <w:sz w:val="20"/>
          <w:szCs w:val="20"/>
        </w:rPr>
        <w:t>1</w:t>
      </w:r>
      <w:r>
        <w:rPr>
          <w:rFonts w:ascii="Times New Roman" w:hAnsi="Times New Roman" w:eastAsia="黑体" w:cs="Times New Roman"/>
          <w:sz w:val="20"/>
          <w:szCs w:val="20"/>
        </w:rPr>
        <w:fldChar w:fldCharType="end"/>
      </w:r>
      <w:r>
        <w:rPr>
          <w:rFonts w:ascii="Times New Roman" w:hAnsi="Times New Roman" w:eastAsia="黑体" w:cs="Times New Roman"/>
          <w:sz w:val="20"/>
          <w:szCs w:val="20"/>
        </w:rPr>
        <w:t>闽侯县2020年各产业产值及规上工业企业分布</w:t>
      </w:r>
    </w:p>
    <w:tbl>
      <w:tblPr>
        <w:tblStyle w:val="48"/>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2"/>
        <w:gridCol w:w="1134"/>
        <w:gridCol w:w="1134"/>
        <w:gridCol w:w="1134"/>
        <w:gridCol w:w="1134"/>
        <w:gridCol w:w="1134"/>
        <w:gridCol w:w="1418"/>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2" w:type="dxa"/>
            <w:shd w:val="clear" w:color="auto" w:fill="DEEAF6"/>
            <w:vAlign w:val="center"/>
          </w:tcPr>
          <w:p>
            <w:pPr>
              <w:spacing w:line="360" w:lineRule="auto"/>
              <w:jc w:val="center"/>
              <w:rPr>
                <w:rFonts w:ascii="Times New Roman" w:hAnsi="Times New Roman" w:cs="Times New Roman"/>
                <w:b/>
                <w:kern w:val="0"/>
                <w:sz w:val="18"/>
                <w:szCs w:val="32"/>
              </w:rPr>
            </w:pPr>
            <w:r>
              <w:rPr>
                <w:rFonts w:ascii="Times New Roman" w:hAnsi="Times New Roman" w:cs="Times New Roman"/>
                <w:b/>
                <w:kern w:val="0"/>
                <w:sz w:val="18"/>
                <w:szCs w:val="32"/>
              </w:rPr>
              <w:t>产业结构</w:t>
            </w:r>
          </w:p>
        </w:tc>
        <w:tc>
          <w:tcPr>
            <w:tcW w:w="1134" w:type="dxa"/>
            <w:shd w:val="clear" w:color="auto" w:fill="DEEAF6"/>
            <w:vAlign w:val="center"/>
          </w:tcPr>
          <w:p>
            <w:pPr>
              <w:spacing w:line="360" w:lineRule="auto"/>
              <w:jc w:val="center"/>
              <w:rPr>
                <w:rFonts w:ascii="Times New Roman" w:hAnsi="Times New Roman" w:cs="Times New Roman"/>
                <w:b/>
                <w:kern w:val="0"/>
                <w:sz w:val="18"/>
                <w:szCs w:val="32"/>
              </w:rPr>
            </w:pPr>
            <w:r>
              <w:rPr>
                <w:rFonts w:ascii="Times New Roman" w:hAnsi="Times New Roman" w:cs="Times New Roman"/>
                <w:b/>
                <w:kern w:val="0"/>
                <w:sz w:val="18"/>
                <w:szCs w:val="32"/>
              </w:rPr>
              <w:t>汽车</w:t>
            </w:r>
          </w:p>
        </w:tc>
        <w:tc>
          <w:tcPr>
            <w:tcW w:w="1134" w:type="dxa"/>
            <w:shd w:val="clear" w:color="auto" w:fill="DEEAF6"/>
            <w:vAlign w:val="center"/>
          </w:tcPr>
          <w:p>
            <w:pPr>
              <w:spacing w:line="360" w:lineRule="auto"/>
              <w:jc w:val="center"/>
              <w:rPr>
                <w:rFonts w:ascii="Times New Roman" w:hAnsi="Times New Roman" w:cs="Times New Roman"/>
                <w:b/>
                <w:kern w:val="0"/>
                <w:sz w:val="18"/>
                <w:szCs w:val="32"/>
              </w:rPr>
            </w:pPr>
            <w:r>
              <w:rPr>
                <w:rFonts w:ascii="Times New Roman" w:hAnsi="Times New Roman" w:cs="Times New Roman"/>
                <w:b/>
                <w:kern w:val="0"/>
                <w:sz w:val="18"/>
                <w:szCs w:val="32"/>
              </w:rPr>
              <w:t>机电制造</w:t>
            </w:r>
          </w:p>
        </w:tc>
        <w:tc>
          <w:tcPr>
            <w:tcW w:w="1134" w:type="dxa"/>
            <w:shd w:val="clear" w:color="auto" w:fill="DEEAF6"/>
            <w:vAlign w:val="center"/>
          </w:tcPr>
          <w:p>
            <w:pPr>
              <w:spacing w:line="360" w:lineRule="auto"/>
              <w:jc w:val="center"/>
              <w:rPr>
                <w:rFonts w:ascii="Times New Roman" w:hAnsi="Times New Roman" w:cs="Times New Roman"/>
                <w:b/>
                <w:kern w:val="0"/>
                <w:sz w:val="18"/>
                <w:szCs w:val="32"/>
              </w:rPr>
            </w:pPr>
            <w:r>
              <w:rPr>
                <w:rFonts w:ascii="Times New Roman" w:hAnsi="Times New Roman" w:cs="Times New Roman"/>
                <w:b/>
                <w:kern w:val="0"/>
                <w:sz w:val="18"/>
                <w:szCs w:val="32"/>
              </w:rPr>
              <w:t>工艺品加工</w:t>
            </w:r>
          </w:p>
        </w:tc>
        <w:tc>
          <w:tcPr>
            <w:tcW w:w="1134" w:type="dxa"/>
            <w:shd w:val="clear" w:color="auto" w:fill="DEEAF6"/>
            <w:vAlign w:val="center"/>
          </w:tcPr>
          <w:p>
            <w:pPr>
              <w:spacing w:line="360" w:lineRule="auto"/>
              <w:jc w:val="center"/>
              <w:rPr>
                <w:rFonts w:ascii="Times New Roman" w:hAnsi="Times New Roman" w:cs="Times New Roman"/>
                <w:b/>
                <w:kern w:val="0"/>
                <w:sz w:val="18"/>
                <w:szCs w:val="32"/>
              </w:rPr>
            </w:pPr>
            <w:r>
              <w:rPr>
                <w:rFonts w:ascii="Times New Roman" w:hAnsi="Times New Roman" w:cs="Times New Roman"/>
                <w:b/>
                <w:kern w:val="0"/>
                <w:sz w:val="18"/>
                <w:szCs w:val="32"/>
              </w:rPr>
              <w:t>建材工业</w:t>
            </w:r>
          </w:p>
        </w:tc>
        <w:tc>
          <w:tcPr>
            <w:tcW w:w="1134" w:type="dxa"/>
            <w:shd w:val="clear" w:color="auto" w:fill="DEEAF6"/>
            <w:vAlign w:val="center"/>
          </w:tcPr>
          <w:p>
            <w:pPr>
              <w:spacing w:line="360" w:lineRule="auto"/>
              <w:jc w:val="center"/>
              <w:rPr>
                <w:rFonts w:ascii="Times New Roman" w:hAnsi="Times New Roman" w:cs="Times New Roman"/>
                <w:b/>
                <w:kern w:val="0"/>
                <w:sz w:val="18"/>
                <w:szCs w:val="32"/>
              </w:rPr>
            </w:pPr>
            <w:r>
              <w:rPr>
                <w:rFonts w:ascii="Times New Roman" w:hAnsi="Times New Roman" w:cs="Times New Roman"/>
                <w:b/>
                <w:kern w:val="0"/>
                <w:sz w:val="18"/>
                <w:szCs w:val="32"/>
              </w:rPr>
              <w:t>服装加工</w:t>
            </w:r>
          </w:p>
        </w:tc>
        <w:tc>
          <w:tcPr>
            <w:tcW w:w="1418" w:type="dxa"/>
            <w:shd w:val="clear" w:color="auto" w:fill="DEEAF6"/>
            <w:vAlign w:val="center"/>
          </w:tcPr>
          <w:p>
            <w:pPr>
              <w:spacing w:line="360" w:lineRule="auto"/>
              <w:jc w:val="center"/>
              <w:rPr>
                <w:rFonts w:ascii="Times New Roman" w:hAnsi="Times New Roman" w:cs="Times New Roman"/>
                <w:b/>
                <w:kern w:val="0"/>
                <w:sz w:val="18"/>
                <w:szCs w:val="32"/>
              </w:rPr>
            </w:pPr>
            <w:r>
              <w:rPr>
                <w:rFonts w:ascii="Times New Roman" w:hAnsi="Times New Roman" w:cs="Times New Roman"/>
                <w:b/>
                <w:kern w:val="0"/>
                <w:sz w:val="18"/>
                <w:szCs w:val="32"/>
              </w:rPr>
              <w:t>食品饮料加工</w:t>
            </w:r>
          </w:p>
        </w:tc>
        <w:tc>
          <w:tcPr>
            <w:tcW w:w="850" w:type="dxa"/>
            <w:shd w:val="clear" w:color="auto" w:fill="DEEAF6"/>
            <w:vAlign w:val="center"/>
          </w:tcPr>
          <w:p>
            <w:pPr>
              <w:spacing w:line="360" w:lineRule="auto"/>
              <w:jc w:val="center"/>
              <w:rPr>
                <w:rFonts w:ascii="Times New Roman" w:hAnsi="Times New Roman" w:cs="Times New Roman"/>
                <w:b/>
                <w:kern w:val="0"/>
                <w:sz w:val="18"/>
                <w:szCs w:val="32"/>
              </w:rPr>
            </w:pPr>
            <w:r>
              <w:rPr>
                <w:rFonts w:ascii="Times New Roman" w:hAnsi="Times New Roman" w:cs="Times New Roman"/>
                <w:b/>
                <w:kern w:val="0"/>
                <w:sz w:val="18"/>
                <w:szCs w:val="3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2" w:type="dxa"/>
            <w:vAlign w:val="center"/>
          </w:tcPr>
          <w:p>
            <w:pPr>
              <w:spacing w:line="360" w:lineRule="auto"/>
              <w:jc w:val="center"/>
              <w:rPr>
                <w:rFonts w:ascii="Times New Roman" w:hAnsi="Times New Roman" w:cs="Times New Roman"/>
                <w:kern w:val="0"/>
                <w:sz w:val="18"/>
                <w:szCs w:val="32"/>
              </w:rPr>
            </w:pPr>
            <w:r>
              <w:rPr>
                <w:rFonts w:ascii="Times New Roman" w:hAnsi="Times New Roman" w:cs="Times New Roman"/>
                <w:kern w:val="0"/>
                <w:sz w:val="18"/>
                <w:szCs w:val="32"/>
              </w:rPr>
              <w:t>产值（亿元）</w:t>
            </w:r>
          </w:p>
        </w:tc>
        <w:tc>
          <w:tcPr>
            <w:tcW w:w="1134" w:type="dxa"/>
            <w:vAlign w:val="center"/>
          </w:tcPr>
          <w:p>
            <w:pPr>
              <w:spacing w:line="360" w:lineRule="auto"/>
              <w:jc w:val="center"/>
              <w:rPr>
                <w:rFonts w:ascii="Times New Roman" w:hAnsi="Times New Roman" w:cs="Times New Roman"/>
                <w:kern w:val="0"/>
                <w:sz w:val="18"/>
                <w:szCs w:val="32"/>
              </w:rPr>
            </w:pPr>
            <w:r>
              <w:rPr>
                <w:rFonts w:ascii="Times New Roman" w:hAnsi="Times New Roman" w:cs="Times New Roman"/>
                <w:kern w:val="0"/>
                <w:sz w:val="18"/>
                <w:szCs w:val="32"/>
              </w:rPr>
              <w:t>218.47</w:t>
            </w:r>
          </w:p>
        </w:tc>
        <w:tc>
          <w:tcPr>
            <w:tcW w:w="1134" w:type="dxa"/>
            <w:vAlign w:val="center"/>
          </w:tcPr>
          <w:p>
            <w:pPr>
              <w:spacing w:line="360" w:lineRule="auto"/>
              <w:jc w:val="center"/>
              <w:rPr>
                <w:rFonts w:ascii="Times New Roman" w:hAnsi="Times New Roman" w:cs="Times New Roman"/>
                <w:kern w:val="0"/>
                <w:sz w:val="18"/>
                <w:szCs w:val="32"/>
              </w:rPr>
            </w:pPr>
            <w:r>
              <w:rPr>
                <w:rFonts w:ascii="Times New Roman" w:hAnsi="Times New Roman" w:cs="Times New Roman"/>
                <w:kern w:val="0"/>
                <w:sz w:val="18"/>
                <w:szCs w:val="32"/>
              </w:rPr>
              <w:t>227.01</w:t>
            </w:r>
          </w:p>
        </w:tc>
        <w:tc>
          <w:tcPr>
            <w:tcW w:w="1134" w:type="dxa"/>
            <w:vAlign w:val="center"/>
          </w:tcPr>
          <w:p>
            <w:pPr>
              <w:spacing w:line="360" w:lineRule="auto"/>
              <w:jc w:val="center"/>
              <w:rPr>
                <w:rFonts w:ascii="Times New Roman" w:hAnsi="Times New Roman" w:cs="Times New Roman"/>
                <w:kern w:val="0"/>
                <w:sz w:val="18"/>
                <w:szCs w:val="32"/>
              </w:rPr>
            </w:pPr>
            <w:r>
              <w:rPr>
                <w:rFonts w:ascii="Times New Roman" w:hAnsi="Times New Roman" w:cs="Times New Roman"/>
                <w:kern w:val="0"/>
                <w:sz w:val="18"/>
                <w:szCs w:val="32"/>
              </w:rPr>
              <w:t>156.86</w:t>
            </w:r>
          </w:p>
        </w:tc>
        <w:tc>
          <w:tcPr>
            <w:tcW w:w="1134" w:type="dxa"/>
            <w:vAlign w:val="center"/>
          </w:tcPr>
          <w:p>
            <w:pPr>
              <w:spacing w:line="360" w:lineRule="auto"/>
              <w:jc w:val="center"/>
              <w:rPr>
                <w:rFonts w:ascii="Times New Roman" w:hAnsi="Times New Roman" w:cs="Times New Roman"/>
                <w:kern w:val="0"/>
                <w:sz w:val="18"/>
                <w:szCs w:val="32"/>
              </w:rPr>
            </w:pPr>
            <w:r>
              <w:rPr>
                <w:rFonts w:ascii="Times New Roman" w:hAnsi="Times New Roman" w:cs="Times New Roman"/>
                <w:kern w:val="0"/>
                <w:sz w:val="18"/>
                <w:szCs w:val="32"/>
              </w:rPr>
              <w:t>193.67</w:t>
            </w:r>
          </w:p>
        </w:tc>
        <w:tc>
          <w:tcPr>
            <w:tcW w:w="1134" w:type="dxa"/>
            <w:vAlign w:val="center"/>
          </w:tcPr>
          <w:p>
            <w:pPr>
              <w:spacing w:line="360" w:lineRule="auto"/>
              <w:jc w:val="center"/>
              <w:rPr>
                <w:rFonts w:ascii="Times New Roman" w:hAnsi="Times New Roman" w:cs="Times New Roman"/>
                <w:kern w:val="0"/>
                <w:sz w:val="18"/>
                <w:szCs w:val="32"/>
              </w:rPr>
            </w:pPr>
            <w:r>
              <w:rPr>
                <w:rFonts w:hint="eastAsia" w:ascii="Times New Roman" w:hAnsi="Times New Roman" w:cs="Times New Roman"/>
                <w:kern w:val="0"/>
                <w:sz w:val="18"/>
                <w:szCs w:val="32"/>
              </w:rPr>
              <w:t>1</w:t>
            </w:r>
            <w:r>
              <w:rPr>
                <w:rFonts w:ascii="Times New Roman" w:hAnsi="Times New Roman" w:cs="Times New Roman"/>
                <w:kern w:val="0"/>
                <w:sz w:val="18"/>
                <w:szCs w:val="32"/>
              </w:rPr>
              <w:t>11.36</w:t>
            </w:r>
          </w:p>
        </w:tc>
        <w:tc>
          <w:tcPr>
            <w:tcW w:w="1418" w:type="dxa"/>
            <w:vAlign w:val="center"/>
          </w:tcPr>
          <w:p>
            <w:pPr>
              <w:spacing w:line="360" w:lineRule="auto"/>
              <w:jc w:val="center"/>
              <w:rPr>
                <w:rFonts w:ascii="Times New Roman" w:hAnsi="Times New Roman" w:cs="Times New Roman"/>
                <w:kern w:val="0"/>
                <w:sz w:val="18"/>
                <w:szCs w:val="32"/>
              </w:rPr>
            </w:pPr>
            <w:r>
              <w:rPr>
                <w:rFonts w:ascii="Times New Roman" w:hAnsi="Times New Roman" w:cs="Times New Roman"/>
                <w:kern w:val="0"/>
                <w:sz w:val="18"/>
                <w:szCs w:val="32"/>
              </w:rPr>
              <w:t>94.06</w:t>
            </w:r>
          </w:p>
        </w:tc>
        <w:tc>
          <w:tcPr>
            <w:tcW w:w="850" w:type="dxa"/>
            <w:vAlign w:val="center"/>
          </w:tcPr>
          <w:p>
            <w:pPr>
              <w:spacing w:line="360" w:lineRule="auto"/>
              <w:jc w:val="center"/>
              <w:rPr>
                <w:rFonts w:ascii="Times New Roman" w:hAnsi="Times New Roman" w:cs="Times New Roman"/>
                <w:kern w:val="0"/>
                <w:sz w:val="18"/>
                <w:szCs w:val="32"/>
              </w:rPr>
            </w:pPr>
            <w:r>
              <w:rPr>
                <w:rFonts w:ascii="Times New Roman" w:hAnsi="Times New Roman" w:cs="Times New Roman"/>
                <w:kern w:val="0"/>
                <w:sz w:val="18"/>
                <w:szCs w:val="32"/>
              </w:rPr>
              <w:t>176.19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2" w:type="dxa"/>
            <w:vAlign w:val="center"/>
          </w:tcPr>
          <w:p>
            <w:pPr>
              <w:spacing w:line="360" w:lineRule="auto"/>
              <w:jc w:val="center"/>
              <w:rPr>
                <w:rFonts w:ascii="Times New Roman" w:hAnsi="Times New Roman" w:cs="Times New Roman"/>
                <w:kern w:val="0"/>
                <w:sz w:val="18"/>
                <w:szCs w:val="32"/>
              </w:rPr>
            </w:pPr>
            <w:r>
              <w:rPr>
                <w:rFonts w:ascii="Times New Roman" w:hAnsi="Times New Roman" w:cs="Times New Roman"/>
                <w:kern w:val="0"/>
                <w:sz w:val="18"/>
                <w:szCs w:val="32"/>
              </w:rPr>
              <w:t>产值占比</w:t>
            </w:r>
          </w:p>
        </w:tc>
        <w:tc>
          <w:tcPr>
            <w:tcW w:w="1134" w:type="dxa"/>
            <w:vAlign w:val="center"/>
          </w:tcPr>
          <w:p>
            <w:pPr>
              <w:spacing w:line="360" w:lineRule="auto"/>
              <w:jc w:val="center"/>
              <w:rPr>
                <w:rFonts w:ascii="Times New Roman" w:hAnsi="Times New Roman" w:cs="Times New Roman"/>
                <w:kern w:val="0"/>
                <w:sz w:val="18"/>
                <w:szCs w:val="32"/>
              </w:rPr>
            </w:pPr>
            <w:r>
              <w:rPr>
                <w:rFonts w:ascii="Times New Roman" w:hAnsi="Times New Roman" w:cs="Times New Roman"/>
                <w:kern w:val="0"/>
                <w:sz w:val="18"/>
                <w:szCs w:val="32"/>
              </w:rPr>
              <w:t>19%</w:t>
            </w:r>
          </w:p>
        </w:tc>
        <w:tc>
          <w:tcPr>
            <w:tcW w:w="1134" w:type="dxa"/>
            <w:vAlign w:val="center"/>
          </w:tcPr>
          <w:p>
            <w:pPr>
              <w:spacing w:line="360" w:lineRule="auto"/>
              <w:jc w:val="center"/>
              <w:rPr>
                <w:rFonts w:ascii="Times New Roman" w:hAnsi="Times New Roman" w:cs="Times New Roman"/>
                <w:kern w:val="0"/>
                <w:sz w:val="18"/>
                <w:szCs w:val="32"/>
              </w:rPr>
            </w:pPr>
            <w:r>
              <w:rPr>
                <w:rFonts w:ascii="Times New Roman" w:hAnsi="Times New Roman" w:cs="Times New Roman"/>
                <w:kern w:val="0"/>
                <w:sz w:val="18"/>
                <w:szCs w:val="32"/>
              </w:rPr>
              <w:t>19%</w:t>
            </w:r>
          </w:p>
        </w:tc>
        <w:tc>
          <w:tcPr>
            <w:tcW w:w="1134" w:type="dxa"/>
            <w:vAlign w:val="center"/>
          </w:tcPr>
          <w:p>
            <w:pPr>
              <w:spacing w:line="360" w:lineRule="auto"/>
              <w:jc w:val="center"/>
              <w:rPr>
                <w:rFonts w:ascii="Times New Roman" w:hAnsi="Times New Roman" w:cs="Times New Roman"/>
                <w:kern w:val="0"/>
                <w:sz w:val="18"/>
                <w:szCs w:val="32"/>
              </w:rPr>
            </w:pPr>
            <w:r>
              <w:rPr>
                <w:rFonts w:ascii="Times New Roman" w:hAnsi="Times New Roman" w:cs="Times New Roman"/>
                <w:kern w:val="0"/>
                <w:sz w:val="18"/>
                <w:szCs w:val="32"/>
              </w:rPr>
              <w:t>13%</w:t>
            </w:r>
          </w:p>
        </w:tc>
        <w:tc>
          <w:tcPr>
            <w:tcW w:w="1134" w:type="dxa"/>
            <w:vAlign w:val="center"/>
          </w:tcPr>
          <w:p>
            <w:pPr>
              <w:spacing w:line="360" w:lineRule="auto"/>
              <w:jc w:val="center"/>
              <w:rPr>
                <w:rFonts w:ascii="Times New Roman" w:hAnsi="Times New Roman" w:cs="Times New Roman"/>
                <w:kern w:val="0"/>
                <w:sz w:val="18"/>
                <w:szCs w:val="32"/>
              </w:rPr>
            </w:pPr>
            <w:r>
              <w:rPr>
                <w:rFonts w:ascii="Times New Roman" w:hAnsi="Times New Roman" w:cs="Times New Roman"/>
                <w:kern w:val="0"/>
                <w:sz w:val="18"/>
                <w:szCs w:val="32"/>
              </w:rPr>
              <w:t>16%</w:t>
            </w:r>
          </w:p>
        </w:tc>
        <w:tc>
          <w:tcPr>
            <w:tcW w:w="1134" w:type="dxa"/>
            <w:vAlign w:val="center"/>
          </w:tcPr>
          <w:p>
            <w:pPr>
              <w:spacing w:line="360" w:lineRule="auto"/>
              <w:jc w:val="center"/>
              <w:rPr>
                <w:rFonts w:ascii="Times New Roman" w:hAnsi="Times New Roman" w:cs="Times New Roman"/>
                <w:kern w:val="0"/>
                <w:sz w:val="18"/>
                <w:szCs w:val="32"/>
              </w:rPr>
            </w:pPr>
            <w:r>
              <w:rPr>
                <w:rFonts w:ascii="Times New Roman" w:hAnsi="Times New Roman" w:cs="Times New Roman"/>
                <w:kern w:val="0"/>
                <w:sz w:val="18"/>
                <w:szCs w:val="32"/>
              </w:rPr>
              <w:t>9%</w:t>
            </w:r>
          </w:p>
        </w:tc>
        <w:tc>
          <w:tcPr>
            <w:tcW w:w="1418" w:type="dxa"/>
            <w:vAlign w:val="center"/>
          </w:tcPr>
          <w:p>
            <w:pPr>
              <w:spacing w:line="360" w:lineRule="auto"/>
              <w:jc w:val="center"/>
              <w:rPr>
                <w:rFonts w:ascii="Times New Roman" w:hAnsi="Times New Roman" w:cs="Times New Roman"/>
                <w:kern w:val="0"/>
                <w:sz w:val="18"/>
                <w:szCs w:val="32"/>
              </w:rPr>
            </w:pPr>
            <w:r>
              <w:rPr>
                <w:rFonts w:ascii="Times New Roman" w:hAnsi="Times New Roman" w:cs="Times New Roman"/>
                <w:kern w:val="0"/>
                <w:sz w:val="18"/>
                <w:szCs w:val="32"/>
              </w:rPr>
              <w:t>8%</w:t>
            </w:r>
          </w:p>
        </w:tc>
        <w:tc>
          <w:tcPr>
            <w:tcW w:w="850" w:type="dxa"/>
            <w:vAlign w:val="center"/>
          </w:tcPr>
          <w:p>
            <w:pPr>
              <w:spacing w:line="360" w:lineRule="auto"/>
              <w:jc w:val="center"/>
              <w:rPr>
                <w:rFonts w:ascii="Times New Roman" w:hAnsi="Times New Roman" w:cs="Times New Roman"/>
                <w:kern w:val="0"/>
                <w:sz w:val="18"/>
                <w:szCs w:val="32"/>
              </w:rPr>
            </w:pPr>
            <w:r>
              <w:rPr>
                <w:rFonts w:ascii="Times New Roman" w:hAnsi="Times New Roman" w:cs="Times New Roman"/>
                <w:kern w:val="0"/>
                <w:sz w:val="18"/>
                <w:szCs w:val="3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2" w:type="dxa"/>
            <w:vAlign w:val="center"/>
          </w:tcPr>
          <w:p>
            <w:pPr>
              <w:spacing w:line="360" w:lineRule="auto"/>
              <w:jc w:val="center"/>
              <w:rPr>
                <w:rFonts w:ascii="Times New Roman" w:hAnsi="Times New Roman" w:cs="Times New Roman"/>
                <w:kern w:val="0"/>
                <w:sz w:val="18"/>
                <w:szCs w:val="32"/>
              </w:rPr>
            </w:pPr>
            <w:r>
              <w:rPr>
                <w:rFonts w:ascii="Times New Roman" w:hAnsi="Times New Roman" w:cs="Times New Roman"/>
                <w:kern w:val="0"/>
                <w:sz w:val="18"/>
                <w:szCs w:val="32"/>
              </w:rPr>
              <w:t>规上企业占比</w:t>
            </w:r>
          </w:p>
        </w:tc>
        <w:tc>
          <w:tcPr>
            <w:tcW w:w="1134" w:type="dxa"/>
            <w:vAlign w:val="center"/>
          </w:tcPr>
          <w:p>
            <w:pPr>
              <w:spacing w:line="360" w:lineRule="auto"/>
              <w:jc w:val="center"/>
              <w:rPr>
                <w:rFonts w:ascii="Times New Roman" w:hAnsi="Times New Roman" w:cs="Times New Roman"/>
                <w:kern w:val="0"/>
                <w:sz w:val="18"/>
                <w:szCs w:val="32"/>
              </w:rPr>
            </w:pPr>
            <w:r>
              <w:rPr>
                <w:rFonts w:ascii="Times New Roman" w:hAnsi="Times New Roman" w:cs="Times New Roman"/>
                <w:kern w:val="0"/>
                <w:sz w:val="18"/>
                <w:szCs w:val="32"/>
              </w:rPr>
              <w:t>14%</w:t>
            </w:r>
          </w:p>
        </w:tc>
        <w:tc>
          <w:tcPr>
            <w:tcW w:w="1134" w:type="dxa"/>
            <w:vAlign w:val="center"/>
          </w:tcPr>
          <w:p>
            <w:pPr>
              <w:spacing w:line="360" w:lineRule="auto"/>
              <w:jc w:val="center"/>
              <w:rPr>
                <w:rFonts w:ascii="Times New Roman" w:hAnsi="Times New Roman" w:cs="Times New Roman"/>
                <w:kern w:val="0"/>
                <w:sz w:val="18"/>
                <w:szCs w:val="32"/>
              </w:rPr>
            </w:pPr>
            <w:r>
              <w:rPr>
                <w:rFonts w:ascii="Times New Roman" w:hAnsi="Times New Roman" w:cs="Times New Roman"/>
                <w:kern w:val="0"/>
                <w:sz w:val="18"/>
                <w:szCs w:val="32"/>
              </w:rPr>
              <w:t>23%</w:t>
            </w:r>
          </w:p>
        </w:tc>
        <w:tc>
          <w:tcPr>
            <w:tcW w:w="1134" w:type="dxa"/>
            <w:vAlign w:val="center"/>
          </w:tcPr>
          <w:p>
            <w:pPr>
              <w:spacing w:line="360" w:lineRule="auto"/>
              <w:jc w:val="center"/>
              <w:rPr>
                <w:rFonts w:ascii="Times New Roman" w:hAnsi="Times New Roman" w:cs="Times New Roman"/>
                <w:kern w:val="0"/>
                <w:sz w:val="18"/>
                <w:szCs w:val="32"/>
              </w:rPr>
            </w:pPr>
            <w:r>
              <w:rPr>
                <w:rFonts w:ascii="Times New Roman" w:hAnsi="Times New Roman" w:cs="Times New Roman"/>
                <w:kern w:val="0"/>
                <w:sz w:val="18"/>
                <w:szCs w:val="32"/>
              </w:rPr>
              <w:t>21%</w:t>
            </w:r>
          </w:p>
        </w:tc>
        <w:tc>
          <w:tcPr>
            <w:tcW w:w="1134" w:type="dxa"/>
            <w:vAlign w:val="center"/>
          </w:tcPr>
          <w:p>
            <w:pPr>
              <w:spacing w:line="360" w:lineRule="auto"/>
              <w:jc w:val="center"/>
              <w:rPr>
                <w:rFonts w:ascii="Times New Roman" w:hAnsi="Times New Roman" w:cs="Times New Roman"/>
                <w:kern w:val="0"/>
                <w:sz w:val="18"/>
                <w:szCs w:val="32"/>
              </w:rPr>
            </w:pPr>
            <w:r>
              <w:rPr>
                <w:rFonts w:ascii="Times New Roman" w:hAnsi="Times New Roman" w:cs="Times New Roman"/>
                <w:kern w:val="0"/>
                <w:sz w:val="18"/>
                <w:szCs w:val="32"/>
              </w:rPr>
              <w:t>8%</w:t>
            </w:r>
          </w:p>
        </w:tc>
        <w:tc>
          <w:tcPr>
            <w:tcW w:w="1134" w:type="dxa"/>
            <w:vAlign w:val="center"/>
          </w:tcPr>
          <w:p>
            <w:pPr>
              <w:spacing w:line="360" w:lineRule="auto"/>
              <w:jc w:val="center"/>
              <w:rPr>
                <w:rFonts w:ascii="Times New Roman" w:hAnsi="Times New Roman" w:cs="Times New Roman"/>
                <w:kern w:val="0"/>
                <w:sz w:val="18"/>
                <w:szCs w:val="32"/>
              </w:rPr>
            </w:pPr>
            <w:r>
              <w:rPr>
                <w:rFonts w:ascii="Times New Roman" w:hAnsi="Times New Roman" w:cs="Times New Roman"/>
                <w:kern w:val="0"/>
                <w:sz w:val="18"/>
                <w:szCs w:val="32"/>
              </w:rPr>
              <w:t>8%</w:t>
            </w:r>
          </w:p>
        </w:tc>
        <w:tc>
          <w:tcPr>
            <w:tcW w:w="1418" w:type="dxa"/>
            <w:vAlign w:val="center"/>
          </w:tcPr>
          <w:p>
            <w:pPr>
              <w:spacing w:line="360" w:lineRule="auto"/>
              <w:jc w:val="center"/>
              <w:rPr>
                <w:rFonts w:ascii="Times New Roman" w:hAnsi="Times New Roman" w:cs="Times New Roman"/>
                <w:kern w:val="0"/>
                <w:sz w:val="18"/>
                <w:szCs w:val="32"/>
              </w:rPr>
            </w:pPr>
            <w:r>
              <w:rPr>
                <w:rFonts w:ascii="Times New Roman" w:hAnsi="Times New Roman" w:cs="Times New Roman"/>
                <w:kern w:val="0"/>
                <w:sz w:val="18"/>
                <w:szCs w:val="32"/>
              </w:rPr>
              <w:t>9%</w:t>
            </w:r>
          </w:p>
        </w:tc>
        <w:tc>
          <w:tcPr>
            <w:tcW w:w="850" w:type="dxa"/>
            <w:vAlign w:val="center"/>
          </w:tcPr>
          <w:p>
            <w:pPr>
              <w:spacing w:line="360" w:lineRule="auto"/>
              <w:jc w:val="center"/>
              <w:rPr>
                <w:rFonts w:ascii="Times New Roman" w:hAnsi="Times New Roman" w:cs="Times New Roman"/>
                <w:kern w:val="0"/>
                <w:sz w:val="18"/>
                <w:szCs w:val="32"/>
              </w:rPr>
            </w:pPr>
            <w:r>
              <w:rPr>
                <w:rFonts w:ascii="Times New Roman" w:hAnsi="Times New Roman" w:cs="Times New Roman"/>
                <w:kern w:val="0"/>
                <w:sz w:val="18"/>
                <w:szCs w:val="32"/>
              </w:rPr>
              <w:t>17%</w:t>
            </w:r>
          </w:p>
        </w:tc>
      </w:tr>
    </w:tbl>
    <w:p>
      <w:pPr>
        <w:adjustRightInd w:val="0"/>
        <w:snapToGrid w:val="0"/>
        <w:spacing w:before="156" w:beforeLines="50" w:after="156" w:afterLines="50" w:line="360" w:lineRule="auto"/>
        <w:ind w:firstLine="562" w:firstLineChars="200"/>
        <w:rPr>
          <w:rFonts w:ascii="Times New Roman" w:hAnsi="Times New Roman" w:cs="Times New Roman"/>
          <w:b/>
          <w:color w:val="000000"/>
          <w:sz w:val="28"/>
          <w:szCs w:val="32"/>
        </w:rPr>
      </w:pPr>
      <w:r>
        <w:rPr>
          <w:rFonts w:ascii="Times New Roman" w:hAnsi="Times New Roman" w:cs="Times New Roman"/>
          <w:b/>
          <w:color w:val="000000"/>
          <w:sz w:val="28"/>
          <w:szCs w:val="32"/>
        </w:rPr>
        <w:t>——产业集群加快培育。</w:t>
      </w:r>
      <w:r>
        <w:rPr>
          <w:rFonts w:hint="eastAsia" w:ascii="Times New Roman" w:hAnsi="Times New Roman" w:cs="Times New Roman"/>
          <w:color w:val="000000"/>
          <w:sz w:val="28"/>
          <w:szCs w:val="32"/>
        </w:rPr>
        <w:t>“十</w:t>
      </w:r>
      <w:r>
        <w:rPr>
          <w:rFonts w:ascii="Times New Roman" w:hAnsi="Times New Roman" w:cs="Times New Roman"/>
          <w:color w:val="000000"/>
          <w:sz w:val="28"/>
          <w:szCs w:val="32"/>
        </w:rPr>
        <w:t>三五</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期间，全县基本形成了汽车、机电制造、工艺品加工、建材工业、服装加工、食品饮料加工等六大传统支柱产业集群，同时积极培育新材料</w:t>
      </w:r>
      <w:r>
        <w:rPr>
          <w:rFonts w:hint="eastAsia" w:ascii="Times New Roman" w:hAnsi="Times New Roman" w:cs="Times New Roman"/>
          <w:color w:val="000000"/>
          <w:sz w:val="28"/>
          <w:szCs w:val="32"/>
        </w:rPr>
        <w:t>、生物医药、光电</w:t>
      </w:r>
      <w:r>
        <w:rPr>
          <w:rFonts w:ascii="Times New Roman" w:hAnsi="Times New Roman" w:cs="Times New Roman"/>
          <w:color w:val="000000"/>
          <w:sz w:val="28"/>
          <w:szCs w:val="32"/>
        </w:rPr>
        <w:t>、信息技术等战略新兴产业集群。其中，汽车、工艺品加工、机电制造、服装加工、建材工业等</w:t>
      </w:r>
      <w:r>
        <w:rPr>
          <w:rFonts w:hint="eastAsia" w:ascii="Times New Roman" w:hAnsi="Times New Roman" w:cs="Times New Roman"/>
          <w:color w:val="000000"/>
          <w:sz w:val="28"/>
          <w:szCs w:val="32"/>
        </w:rPr>
        <w:t>5</w:t>
      </w:r>
      <w:r>
        <w:rPr>
          <w:rFonts w:ascii="Times New Roman" w:hAnsi="Times New Roman" w:cs="Times New Roman"/>
          <w:color w:val="000000"/>
          <w:sz w:val="28"/>
          <w:szCs w:val="32"/>
        </w:rPr>
        <w:t>个产业集群已实现产值超百亿元。</w:t>
      </w:r>
    </w:p>
    <w:p>
      <w:pPr>
        <w:adjustRightInd w:val="0"/>
        <w:snapToGrid w:val="0"/>
        <w:spacing w:before="156" w:beforeLines="50" w:after="156" w:afterLines="50" w:line="360" w:lineRule="auto"/>
        <w:ind w:firstLine="562" w:firstLineChars="200"/>
        <w:rPr>
          <w:rFonts w:ascii="Times New Roman" w:hAnsi="Times New Roman" w:cs="Times New Roman"/>
          <w:color w:val="000000"/>
          <w:sz w:val="28"/>
          <w:szCs w:val="32"/>
        </w:rPr>
      </w:pPr>
      <w:r>
        <w:rPr>
          <w:rFonts w:ascii="Times New Roman" w:hAnsi="Times New Roman" w:cs="Times New Roman"/>
          <w:b/>
          <w:color w:val="000000"/>
          <w:sz w:val="28"/>
          <w:szCs w:val="32"/>
        </w:rPr>
        <w:t>——工业投资力度不断加大。</w:t>
      </w:r>
      <w:r>
        <w:rPr>
          <w:rFonts w:hint="eastAsia" w:ascii="Times New Roman" w:hAnsi="Times New Roman" w:cs="Times New Roman"/>
          <w:color w:val="000000"/>
          <w:sz w:val="28"/>
          <w:szCs w:val="32"/>
        </w:rPr>
        <w:t>“十</w:t>
      </w:r>
      <w:r>
        <w:rPr>
          <w:rFonts w:ascii="Times New Roman" w:hAnsi="Times New Roman" w:cs="Times New Roman"/>
          <w:color w:val="000000"/>
          <w:sz w:val="28"/>
          <w:szCs w:val="32"/>
        </w:rPr>
        <w:t>三五</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期间，闽侯县工业固定资产投资额不断增加，</w:t>
      </w:r>
      <w:r>
        <w:rPr>
          <w:rFonts w:hint="eastAsia" w:ascii="Times New Roman" w:hAnsi="Times New Roman" w:cs="Times New Roman"/>
          <w:color w:val="000000" w:themeColor="text1"/>
          <w:sz w:val="28"/>
          <w:szCs w:val="32"/>
          <w14:textFill>
            <w14:solidFill>
              <w14:schemeClr w14:val="tx1"/>
            </w14:solidFill>
          </w14:textFill>
        </w:rPr>
        <w:t>2020</w:t>
      </w:r>
      <w:r>
        <w:rPr>
          <w:rFonts w:ascii="Times New Roman" w:hAnsi="Times New Roman" w:cs="Times New Roman"/>
          <w:color w:val="000000" w:themeColor="text1"/>
          <w:sz w:val="28"/>
          <w:szCs w:val="32"/>
          <w14:textFill>
            <w14:solidFill>
              <w14:schemeClr w14:val="tx1"/>
            </w14:solidFill>
          </w14:textFill>
        </w:rPr>
        <w:t>年全县工业固定资产投资达</w:t>
      </w:r>
      <w:r>
        <w:rPr>
          <w:rFonts w:hint="eastAsia" w:ascii="Times New Roman" w:hAnsi="Times New Roman" w:cs="Times New Roman"/>
          <w:color w:val="000000" w:themeColor="text1"/>
          <w:sz w:val="28"/>
          <w:szCs w:val="32"/>
          <w14:textFill>
            <w14:solidFill>
              <w14:schemeClr w14:val="tx1"/>
            </w14:solidFill>
          </w14:textFill>
        </w:rPr>
        <w:t>170.8</w:t>
      </w:r>
      <w:r>
        <w:rPr>
          <w:rFonts w:ascii="Times New Roman" w:hAnsi="Times New Roman" w:cs="Times New Roman"/>
          <w:color w:val="000000" w:themeColor="text1"/>
          <w:sz w:val="28"/>
          <w:szCs w:val="32"/>
          <w14:textFill>
            <w14:solidFill>
              <w14:schemeClr w14:val="tx1"/>
            </w14:solidFill>
          </w14:textFill>
        </w:rPr>
        <w:t>亿元，</w:t>
      </w:r>
      <w:r>
        <w:rPr>
          <w:rFonts w:ascii="Times New Roman" w:hAnsi="Times New Roman" w:cs="Times New Roman"/>
          <w:color w:val="000000"/>
          <w:sz w:val="28"/>
          <w:szCs w:val="32"/>
        </w:rPr>
        <w:t>接近2015年的2.14倍，年均增长18.8%，</w:t>
      </w:r>
      <w:r>
        <w:rPr>
          <w:rFonts w:ascii="Times New Roman" w:hAnsi="Times New Roman" w:cs="Times New Roman"/>
          <w:sz w:val="28"/>
          <w:szCs w:val="32"/>
        </w:rPr>
        <w:t>2016至2020年全县工业固定资产投资累计达</w:t>
      </w:r>
      <w:r>
        <w:rPr>
          <w:rFonts w:hint="eastAsia" w:ascii="Times New Roman" w:hAnsi="Times New Roman" w:cs="Times New Roman"/>
          <w:sz w:val="28"/>
          <w:szCs w:val="32"/>
        </w:rPr>
        <w:t>6</w:t>
      </w:r>
      <w:r>
        <w:rPr>
          <w:rFonts w:ascii="Times New Roman" w:hAnsi="Times New Roman" w:cs="Times New Roman"/>
          <w:sz w:val="28"/>
          <w:szCs w:val="32"/>
        </w:rPr>
        <w:t>55.4亿元。</w:t>
      </w:r>
      <w:r>
        <w:rPr>
          <w:rFonts w:ascii="Times New Roman" w:hAnsi="Times New Roman" w:cs="Times New Roman"/>
          <w:color w:val="000000"/>
          <w:sz w:val="28"/>
          <w:szCs w:val="32"/>
        </w:rPr>
        <w:t>对外开放力度持续加大，2016至2018年吸引外商及港澳台工业投资累计达1417.06亿元。此外，闽侯县深入贯彻</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五个一批</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工作推进机制，截至2020年底，全县</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五个一批</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工业重点项目累计达351项，总投资达</w:t>
      </w:r>
      <w:r>
        <w:rPr>
          <w:rFonts w:hint="eastAsia" w:ascii="Times New Roman" w:hAnsi="Times New Roman" w:cs="Times New Roman"/>
          <w:color w:val="000000"/>
          <w:sz w:val="28"/>
          <w:szCs w:val="32"/>
        </w:rPr>
        <w:t>1</w:t>
      </w:r>
      <w:r>
        <w:rPr>
          <w:rFonts w:ascii="Times New Roman" w:hAnsi="Times New Roman" w:cs="Times New Roman"/>
          <w:color w:val="000000"/>
          <w:sz w:val="28"/>
          <w:szCs w:val="32"/>
        </w:rPr>
        <w:t>012.15亿元。</w:t>
      </w:r>
    </w:p>
    <w:p>
      <w:pPr>
        <w:adjustRightInd w:val="0"/>
        <w:snapToGrid w:val="0"/>
        <w:spacing w:before="156" w:beforeLines="50" w:after="156" w:afterLines="50" w:line="360" w:lineRule="auto"/>
        <w:ind w:firstLine="562" w:firstLineChars="200"/>
        <w:rPr>
          <w:rFonts w:ascii="Times New Roman" w:hAnsi="Times New Roman" w:cs="Times New Roman"/>
          <w:b/>
          <w:color w:val="000000"/>
          <w:sz w:val="28"/>
          <w:szCs w:val="32"/>
        </w:rPr>
      </w:pPr>
      <w:r>
        <w:rPr>
          <w:rFonts w:hint="eastAsia" w:ascii="Times New Roman" w:hAnsi="Times New Roman" w:cs="Times New Roman"/>
          <w:b/>
          <w:color w:val="000000"/>
          <w:sz w:val="28"/>
          <w:szCs w:val="32"/>
        </w:rPr>
        <w:t>——</w:t>
      </w:r>
      <w:r>
        <w:rPr>
          <w:rFonts w:ascii="Times New Roman" w:hAnsi="Times New Roman" w:cs="Times New Roman"/>
          <w:b/>
          <w:color w:val="000000"/>
          <w:sz w:val="28"/>
          <w:szCs w:val="32"/>
        </w:rPr>
        <w:t>创新能力稳步提升</w:t>
      </w:r>
      <w:r>
        <w:rPr>
          <w:rFonts w:hint="eastAsia" w:ascii="Times New Roman" w:hAnsi="Times New Roman" w:cs="Times New Roman"/>
          <w:b/>
          <w:color w:val="000000"/>
          <w:sz w:val="28"/>
          <w:szCs w:val="32"/>
        </w:rPr>
        <w:t>。</w:t>
      </w:r>
      <w:r>
        <w:rPr>
          <w:rFonts w:hint="eastAsia" w:ascii="Times New Roman" w:hAnsi="Times New Roman" w:cs="Times New Roman"/>
          <w:color w:val="000000"/>
          <w:sz w:val="28"/>
          <w:szCs w:val="32"/>
        </w:rPr>
        <w:t>“十三五”期间，闽侯县创新动能加快释放，创新活力全面增强。新增专家（院士）工作站3</w:t>
      </w:r>
      <w:r>
        <w:rPr>
          <w:rFonts w:ascii="Times New Roman" w:hAnsi="Times New Roman" w:cs="Times New Roman"/>
          <w:color w:val="000000"/>
          <w:sz w:val="28"/>
          <w:szCs w:val="32"/>
        </w:rPr>
        <w:t>2个</w:t>
      </w:r>
      <w:r>
        <w:rPr>
          <w:rFonts w:hint="eastAsia" w:ascii="Times New Roman" w:hAnsi="Times New Roman" w:cs="Times New Roman"/>
          <w:color w:val="000000"/>
          <w:sz w:val="28"/>
          <w:szCs w:val="32"/>
        </w:rPr>
        <w:t>，数量居全市第一。</w:t>
      </w:r>
      <w:r>
        <w:rPr>
          <w:rFonts w:ascii="Times New Roman" w:hAnsi="Times New Roman" w:cs="Times New Roman"/>
          <w:color w:val="000000"/>
          <w:sz w:val="28"/>
          <w:szCs w:val="32"/>
        </w:rPr>
        <w:t>引进高层次人才</w:t>
      </w:r>
      <w:r>
        <w:rPr>
          <w:rFonts w:hint="eastAsia" w:ascii="Times New Roman" w:hAnsi="Times New Roman" w:cs="Times New Roman"/>
          <w:color w:val="000000"/>
          <w:sz w:val="28"/>
          <w:szCs w:val="32"/>
        </w:rPr>
        <w:t>3</w:t>
      </w:r>
      <w:r>
        <w:rPr>
          <w:rFonts w:ascii="Times New Roman" w:hAnsi="Times New Roman" w:cs="Times New Roman"/>
          <w:color w:val="000000"/>
          <w:sz w:val="28"/>
          <w:szCs w:val="32"/>
        </w:rPr>
        <w:t>0名</w:t>
      </w:r>
      <w:r>
        <w:rPr>
          <w:rFonts w:hint="eastAsia" w:ascii="Times New Roman" w:hAnsi="Times New Roman" w:cs="Times New Roman"/>
          <w:color w:val="000000"/>
          <w:sz w:val="28"/>
          <w:szCs w:val="32"/>
        </w:rPr>
        <w:t>，</w:t>
      </w:r>
      <w:r>
        <w:rPr>
          <w:rFonts w:ascii="Times New Roman" w:hAnsi="Times New Roman" w:cs="Times New Roman"/>
          <w:sz w:val="28"/>
          <w:szCs w:val="32"/>
        </w:rPr>
        <w:t>获产学研项目奖励</w:t>
      </w:r>
      <w:r>
        <w:rPr>
          <w:rFonts w:hint="eastAsia" w:ascii="Times New Roman" w:hAnsi="Times New Roman" w:cs="Times New Roman"/>
          <w:sz w:val="28"/>
          <w:szCs w:val="32"/>
        </w:rPr>
        <w:t>14项</w:t>
      </w:r>
      <w:r>
        <w:rPr>
          <w:rFonts w:hint="eastAsia" w:ascii="Times New Roman" w:hAnsi="Times New Roman" w:cs="Times New Roman"/>
          <w:color w:val="000000"/>
          <w:sz w:val="28"/>
          <w:szCs w:val="32"/>
        </w:rPr>
        <w:t>，创建市级以上技能大师工作室1</w:t>
      </w:r>
      <w:r>
        <w:rPr>
          <w:rFonts w:ascii="Times New Roman" w:hAnsi="Times New Roman" w:cs="Times New Roman"/>
          <w:color w:val="000000"/>
          <w:sz w:val="28"/>
          <w:szCs w:val="32"/>
        </w:rPr>
        <w:t>2个</w:t>
      </w:r>
      <w:r>
        <w:rPr>
          <w:rFonts w:hint="eastAsia" w:ascii="Times New Roman" w:hAnsi="Times New Roman" w:cs="Times New Roman"/>
          <w:color w:val="000000"/>
          <w:sz w:val="28"/>
          <w:szCs w:val="32"/>
        </w:rPr>
        <w:t>。全县专利授权累计达</w:t>
      </w:r>
      <w:r>
        <w:rPr>
          <w:rFonts w:ascii="Times New Roman" w:hAnsi="Times New Roman" w:cs="Times New Roman"/>
          <w:color w:val="000000"/>
          <w:sz w:val="28"/>
          <w:szCs w:val="32"/>
        </w:rPr>
        <w:t>12830件</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位居全市前列</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成功入选国家知识产权强县工程示范县</w:t>
      </w:r>
      <w:r>
        <w:rPr>
          <w:rFonts w:hint="eastAsia" w:ascii="Times New Roman" w:hAnsi="Times New Roman" w:cs="Times New Roman"/>
          <w:color w:val="000000"/>
          <w:sz w:val="28"/>
          <w:szCs w:val="32"/>
        </w:rPr>
        <w:t>。2</w:t>
      </w:r>
      <w:r>
        <w:rPr>
          <w:rFonts w:ascii="Times New Roman" w:hAnsi="Times New Roman" w:cs="Times New Roman"/>
          <w:color w:val="000000"/>
          <w:sz w:val="28"/>
          <w:szCs w:val="32"/>
        </w:rPr>
        <w:t>020年</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全县研究与试验发展</w:t>
      </w:r>
      <w:r>
        <w:rPr>
          <w:rFonts w:hint="eastAsia" w:ascii="Times New Roman" w:hAnsi="Times New Roman" w:cs="Times New Roman"/>
          <w:color w:val="000000"/>
          <w:sz w:val="28"/>
          <w:szCs w:val="32"/>
        </w:rPr>
        <w:t>（R&amp;</w:t>
      </w:r>
      <w:r>
        <w:rPr>
          <w:rFonts w:ascii="Times New Roman" w:hAnsi="Times New Roman" w:cs="Times New Roman"/>
          <w:color w:val="000000"/>
          <w:sz w:val="28"/>
          <w:szCs w:val="32"/>
        </w:rPr>
        <w:t>D</w:t>
      </w:r>
      <w:r>
        <w:rPr>
          <w:rFonts w:hint="eastAsia" w:ascii="Times New Roman" w:hAnsi="Times New Roman" w:cs="Times New Roman"/>
          <w:color w:val="000000"/>
          <w:sz w:val="28"/>
          <w:szCs w:val="32"/>
        </w:rPr>
        <w:t>）经费支出占</w:t>
      </w:r>
      <w:r>
        <w:rPr>
          <w:rFonts w:ascii="Times New Roman" w:hAnsi="Times New Roman" w:cs="Times New Roman"/>
          <w:color w:val="000000"/>
          <w:sz w:val="28"/>
          <w:szCs w:val="32"/>
        </w:rPr>
        <w:t>GDP比重达</w:t>
      </w:r>
      <w:r>
        <w:rPr>
          <w:rFonts w:hint="eastAsia" w:ascii="Times New Roman" w:hAnsi="Times New Roman" w:cs="Times New Roman"/>
          <w:color w:val="000000"/>
          <w:sz w:val="28"/>
          <w:szCs w:val="32"/>
        </w:rPr>
        <w:t>2</w:t>
      </w:r>
      <w:r>
        <w:rPr>
          <w:rFonts w:ascii="Times New Roman" w:hAnsi="Times New Roman" w:cs="Times New Roman"/>
          <w:color w:val="000000"/>
          <w:sz w:val="28"/>
          <w:szCs w:val="32"/>
        </w:rPr>
        <w:t>.3</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年均增长</w:t>
      </w:r>
      <w:r>
        <w:rPr>
          <w:rFonts w:hint="eastAsia" w:ascii="Times New Roman" w:hAnsi="Times New Roman" w:cs="Times New Roman"/>
          <w:color w:val="000000"/>
          <w:sz w:val="28"/>
          <w:szCs w:val="32"/>
        </w:rPr>
        <w:t>7</w:t>
      </w:r>
      <w:r>
        <w:rPr>
          <w:rFonts w:ascii="Times New Roman" w:hAnsi="Times New Roman" w:cs="Times New Roman"/>
          <w:color w:val="000000"/>
          <w:sz w:val="28"/>
          <w:szCs w:val="32"/>
        </w:rPr>
        <w:t>.5</w:t>
      </w:r>
      <w:r>
        <w:rPr>
          <w:rFonts w:hint="eastAsia" w:ascii="Times New Roman" w:hAnsi="Times New Roman" w:cs="Times New Roman"/>
          <w:color w:val="000000"/>
          <w:sz w:val="28"/>
          <w:szCs w:val="32"/>
        </w:rPr>
        <w:t>%。</w:t>
      </w:r>
      <w:r>
        <w:rPr>
          <w:rFonts w:hint="eastAsia" w:ascii="仿宋" w:hAnsi="仿宋" w:cs="Times New Roman"/>
          <w:color w:val="000000"/>
          <w:sz w:val="28"/>
          <w:szCs w:val="32"/>
        </w:rPr>
        <w:t>此外，</w:t>
      </w:r>
      <w:r>
        <w:rPr>
          <w:rFonts w:ascii="仿宋" w:hAnsi="仿宋" w:cs="Times New Roman"/>
          <w:color w:val="000000"/>
          <w:sz w:val="28"/>
          <w:szCs w:val="32"/>
        </w:rPr>
        <w:t>闽侯县“双百双千”增产增效行动深入开展</w:t>
      </w:r>
      <w:r>
        <w:rPr>
          <w:rFonts w:hint="eastAsia" w:ascii="Times New Roman" w:hAnsi="Times New Roman" w:cs="Times New Roman"/>
          <w:color w:val="000000"/>
          <w:sz w:val="28"/>
          <w:szCs w:val="32"/>
        </w:rPr>
        <w:t>，2</w:t>
      </w:r>
      <w:r>
        <w:rPr>
          <w:rFonts w:ascii="Times New Roman" w:hAnsi="Times New Roman" w:cs="Times New Roman"/>
          <w:color w:val="000000"/>
          <w:sz w:val="28"/>
          <w:szCs w:val="32"/>
        </w:rPr>
        <w:t>020年</w:t>
      </w:r>
      <w:r>
        <w:rPr>
          <w:rFonts w:hint="eastAsia" w:ascii="Times New Roman" w:hAnsi="Times New Roman" w:cs="Times New Roman"/>
          <w:color w:val="000000"/>
          <w:sz w:val="28"/>
          <w:szCs w:val="32"/>
        </w:rPr>
        <w:t>，2</w:t>
      </w:r>
      <w:r>
        <w:rPr>
          <w:rFonts w:ascii="Times New Roman" w:hAnsi="Times New Roman" w:cs="Times New Roman"/>
          <w:color w:val="000000"/>
          <w:sz w:val="28"/>
          <w:szCs w:val="32"/>
        </w:rPr>
        <w:t>49家</w:t>
      </w:r>
      <w:r>
        <w:rPr>
          <w:rFonts w:hint="eastAsia" w:ascii="Times New Roman" w:hAnsi="Times New Roman" w:cs="Times New Roman"/>
          <w:color w:val="000000"/>
          <w:sz w:val="28"/>
          <w:szCs w:val="32"/>
        </w:rPr>
        <w:t>行动企业正增长率9</w:t>
      </w:r>
      <w:r>
        <w:rPr>
          <w:rFonts w:ascii="Times New Roman" w:hAnsi="Times New Roman" w:cs="Times New Roman"/>
          <w:color w:val="000000"/>
          <w:sz w:val="28"/>
          <w:szCs w:val="32"/>
        </w:rPr>
        <w:t>6</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完成产值1050亿元</w:t>
      </w:r>
      <w:r>
        <w:rPr>
          <w:rFonts w:hint="eastAsia" w:ascii="Times New Roman" w:hAnsi="Times New Roman" w:cs="Times New Roman"/>
          <w:color w:val="000000"/>
          <w:sz w:val="28"/>
          <w:szCs w:val="32"/>
        </w:rPr>
        <w:t>。</w:t>
      </w:r>
    </w:p>
    <w:p>
      <w:pPr>
        <w:adjustRightInd w:val="0"/>
        <w:snapToGrid w:val="0"/>
        <w:spacing w:before="156" w:beforeLines="50" w:after="156" w:afterLines="50" w:line="360" w:lineRule="auto"/>
        <w:ind w:firstLine="562" w:firstLineChars="200"/>
        <w:rPr>
          <w:rFonts w:ascii="Times New Roman" w:hAnsi="Times New Roman" w:cs="Times New Roman"/>
          <w:sz w:val="28"/>
          <w:szCs w:val="32"/>
        </w:rPr>
      </w:pPr>
      <w:r>
        <w:rPr>
          <w:rFonts w:ascii="Times New Roman" w:hAnsi="Times New Roman" w:cs="Times New Roman"/>
          <w:b/>
          <w:color w:val="000000"/>
          <w:sz w:val="28"/>
          <w:szCs w:val="32"/>
        </w:rPr>
        <w:t>——企业发展步伐加快。</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十三五</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期间，闽侯县企业自主创新能力显著增强</w:t>
      </w:r>
      <w:r>
        <w:rPr>
          <w:rFonts w:hint="eastAsia" w:ascii="Times New Roman" w:hAnsi="Times New Roman" w:cs="Times New Roman"/>
          <w:color w:val="000000"/>
          <w:sz w:val="28"/>
          <w:szCs w:val="32"/>
        </w:rPr>
        <w:t>，累计培育</w:t>
      </w:r>
      <w:r>
        <w:rPr>
          <w:rFonts w:ascii="Times New Roman" w:hAnsi="Times New Roman" w:cs="Times New Roman"/>
          <w:color w:val="000000"/>
          <w:sz w:val="28"/>
          <w:szCs w:val="32"/>
        </w:rPr>
        <w:t>高新技术企业</w:t>
      </w:r>
      <w:r>
        <w:rPr>
          <w:rFonts w:hint="eastAsia" w:ascii="Times New Roman" w:hAnsi="Times New Roman" w:cs="Times New Roman"/>
          <w:color w:val="000000"/>
          <w:sz w:val="28"/>
          <w:szCs w:val="32"/>
        </w:rPr>
        <w:t>110</w:t>
      </w:r>
      <w:r>
        <w:rPr>
          <w:rFonts w:ascii="Times New Roman" w:hAnsi="Times New Roman" w:cs="Times New Roman"/>
          <w:color w:val="000000"/>
          <w:sz w:val="28"/>
          <w:szCs w:val="32"/>
        </w:rPr>
        <w:t>家</w:t>
      </w:r>
      <w:r>
        <w:rPr>
          <w:rFonts w:hint="eastAsia" w:ascii="Times New Roman" w:hAnsi="Times New Roman" w:cs="Times New Roman"/>
          <w:color w:val="000000"/>
          <w:sz w:val="28"/>
          <w:szCs w:val="32"/>
        </w:rPr>
        <w:t>，</w:t>
      </w:r>
      <w:r>
        <w:rPr>
          <w:rFonts w:hint="eastAsia" w:ascii="Times New Roman" w:hAnsi="Times New Roman" w:cs="Times New Roman"/>
          <w:sz w:val="28"/>
          <w:szCs w:val="32"/>
        </w:rPr>
        <w:t>获得</w:t>
      </w:r>
      <w:r>
        <w:rPr>
          <w:rFonts w:ascii="Times New Roman" w:hAnsi="Times New Roman" w:cs="Times New Roman"/>
          <w:sz w:val="28"/>
          <w:szCs w:val="32"/>
        </w:rPr>
        <w:t>省级</w:t>
      </w:r>
      <w:r>
        <w:rPr>
          <w:rFonts w:hint="eastAsia" w:ascii="Times New Roman" w:hAnsi="Times New Roman" w:cs="Times New Roman"/>
          <w:sz w:val="28"/>
          <w:szCs w:val="32"/>
        </w:rPr>
        <w:t>企业</w:t>
      </w:r>
      <w:r>
        <w:rPr>
          <w:rFonts w:ascii="Times New Roman" w:hAnsi="Times New Roman" w:cs="Times New Roman"/>
          <w:sz w:val="28"/>
          <w:szCs w:val="32"/>
        </w:rPr>
        <w:t>技术中心</w:t>
      </w:r>
      <w:r>
        <w:rPr>
          <w:rFonts w:hint="eastAsia" w:ascii="Times New Roman" w:hAnsi="Times New Roman" w:cs="Times New Roman"/>
          <w:sz w:val="28"/>
          <w:szCs w:val="32"/>
        </w:rPr>
        <w:t>1</w:t>
      </w:r>
      <w:r>
        <w:rPr>
          <w:rFonts w:ascii="Times New Roman" w:hAnsi="Times New Roman" w:cs="Times New Roman"/>
          <w:sz w:val="28"/>
          <w:szCs w:val="32"/>
        </w:rPr>
        <w:t>0家，市级</w:t>
      </w:r>
      <w:r>
        <w:rPr>
          <w:rFonts w:hint="eastAsia" w:ascii="Times New Roman" w:hAnsi="Times New Roman" w:cs="Times New Roman"/>
          <w:sz w:val="28"/>
          <w:szCs w:val="32"/>
        </w:rPr>
        <w:t>企业</w:t>
      </w:r>
      <w:r>
        <w:rPr>
          <w:rFonts w:ascii="Times New Roman" w:hAnsi="Times New Roman" w:cs="Times New Roman"/>
          <w:sz w:val="28"/>
          <w:szCs w:val="32"/>
        </w:rPr>
        <w:t>技术中心26家，</w:t>
      </w:r>
      <w:r>
        <w:rPr>
          <w:rFonts w:hint="eastAsia" w:ascii="Times New Roman" w:hAnsi="Times New Roman" w:cs="Times New Roman"/>
          <w:sz w:val="28"/>
          <w:szCs w:val="32"/>
        </w:rPr>
        <w:t>获得市级</w:t>
      </w:r>
      <w:r>
        <w:rPr>
          <w:rFonts w:ascii="Times New Roman" w:hAnsi="Times New Roman" w:cs="Times New Roman"/>
          <w:sz w:val="28"/>
          <w:szCs w:val="32"/>
        </w:rPr>
        <w:t>工业企业优秀创新产品</w:t>
      </w:r>
      <w:r>
        <w:rPr>
          <w:rFonts w:hint="eastAsia" w:ascii="Times New Roman" w:hAnsi="Times New Roman" w:cs="Times New Roman"/>
          <w:sz w:val="28"/>
          <w:szCs w:val="32"/>
        </w:rPr>
        <w:t>5</w:t>
      </w:r>
      <w:r>
        <w:rPr>
          <w:rFonts w:ascii="Times New Roman" w:hAnsi="Times New Roman" w:cs="Times New Roman"/>
          <w:sz w:val="28"/>
          <w:szCs w:val="32"/>
        </w:rPr>
        <w:t>家</w:t>
      </w:r>
      <w:r>
        <w:rPr>
          <w:rFonts w:hint="eastAsia" w:ascii="Times New Roman" w:hAnsi="Times New Roman" w:cs="Times New Roman"/>
          <w:sz w:val="28"/>
          <w:szCs w:val="32"/>
        </w:rPr>
        <w:t>,获得省级制造业单项冠军企业（产品）4</w:t>
      </w:r>
      <w:r>
        <w:rPr>
          <w:rFonts w:ascii="Times New Roman" w:hAnsi="Times New Roman" w:cs="Times New Roman"/>
          <w:sz w:val="28"/>
          <w:szCs w:val="32"/>
        </w:rPr>
        <w:t>家</w:t>
      </w:r>
      <w:r>
        <w:rPr>
          <w:rFonts w:hint="eastAsia" w:ascii="Times New Roman" w:hAnsi="Times New Roman" w:cs="Times New Roman"/>
          <w:sz w:val="28"/>
          <w:szCs w:val="32"/>
        </w:rPr>
        <w:t>，2</w:t>
      </w:r>
      <w:r>
        <w:rPr>
          <w:rFonts w:ascii="Times New Roman" w:hAnsi="Times New Roman" w:cs="Times New Roman"/>
          <w:sz w:val="28"/>
          <w:szCs w:val="32"/>
        </w:rPr>
        <w:t>020年以来</w:t>
      </w:r>
      <w:r>
        <w:rPr>
          <w:rFonts w:hint="eastAsia" w:ascii="Times New Roman" w:hAnsi="Times New Roman" w:cs="Times New Roman"/>
          <w:sz w:val="28"/>
          <w:szCs w:val="32"/>
        </w:rPr>
        <w:t>，全县深入贯彻落实福州市“百项千亿”技改行动，6</w:t>
      </w:r>
      <w:r>
        <w:rPr>
          <w:rFonts w:ascii="Times New Roman" w:hAnsi="Times New Roman" w:cs="Times New Roman"/>
          <w:sz w:val="28"/>
          <w:szCs w:val="32"/>
        </w:rPr>
        <w:t>6个</w:t>
      </w:r>
      <w:r>
        <w:rPr>
          <w:rFonts w:hint="eastAsia" w:ascii="Times New Roman" w:hAnsi="Times New Roman" w:cs="Times New Roman"/>
          <w:sz w:val="28"/>
          <w:szCs w:val="32"/>
        </w:rPr>
        <w:t>“百项千亿”技改项目完成投资1</w:t>
      </w:r>
      <w:r>
        <w:rPr>
          <w:rFonts w:ascii="Times New Roman" w:hAnsi="Times New Roman" w:cs="Times New Roman"/>
          <w:sz w:val="28"/>
          <w:szCs w:val="32"/>
        </w:rPr>
        <w:t>07.66亿元</w:t>
      </w:r>
      <w:r>
        <w:rPr>
          <w:rFonts w:hint="eastAsia" w:ascii="Times New Roman" w:hAnsi="Times New Roman" w:cs="Times New Roman"/>
          <w:sz w:val="28"/>
          <w:szCs w:val="32"/>
        </w:rPr>
        <w:t>，</w:t>
      </w:r>
      <w:r>
        <w:rPr>
          <w:rFonts w:ascii="Times New Roman" w:hAnsi="Times New Roman" w:cs="Times New Roman"/>
          <w:sz w:val="28"/>
          <w:szCs w:val="32"/>
        </w:rPr>
        <w:t>新增福州市名优产品目录企业</w:t>
      </w:r>
      <w:r>
        <w:rPr>
          <w:rFonts w:hint="eastAsia" w:ascii="Times New Roman" w:hAnsi="Times New Roman" w:cs="Times New Roman"/>
          <w:sz w:val="28"/>
          <w:szCs w:val="32"/>
        </w:rPr>
        <w:t>2</w:t>
      </w:r>
      <w:r>
        <w:rPr>
          <w:rFonts w:ascii="Times New Roman" w:hAnsi="Times New Roman" w:cs="Times New Roman"/>
          <w:sz w:val="28"/>
          <w:szCs w:val="32"/>
        </w:rPr>
        <w:t>8家</w:t>
      </w:r>
      <w:r>
        <w:rPr>
          <w:rFonts w:hint="eastAsia" w:ascii="Times New Roman" w:hAnsi="Times New Roman" w:cs="Times New Roman"/>
          <w:sz w:val="28"/>
          <w:szCs w:val="32"/>
        </w:rPr>
        <w:t>、</w:t>
      </w:r>
      <w:r>
        <w:rPr>
          <w:rFonts w:ascii="Times New Roman" w:hAnsi="Times New Roman" w:cs="Times New Roman"/>
          <w:sz w:val="28"/>
          <w:szCs w:val="32"/>
        </w:rPr>
        <w:t>产品</w:t>
      </w:r>
      <w:r>
        <w:rPr>
          <w:rFonts w:hint="eastAsia" w:ascii="Times New Roman" w:hAnsi="Times New Roman" w:cs="Times New Roman"/>
          <w:sz w:val="28"/>
          <w:szCs w:val="32"/>
        </w:rPr>
        <w:t>9</w:t>
      </w:r>
      <w:r>
        <w:rPr>
          <w:rFonts w:ascii="Times New Roman" w:hAnsi="Times New Roman" w:cs="Times New Roman"/>
          <w:sz w:val="28"/>
          <w:szCs w:val="32"/>
        </w:rPr>
        <w:t>3个</w:t>
      </w:r>
      <w:r>
        <w:rPr>
          <w:rFonts w:hint="eastAsia" w:ascii="Times New Roman" w:hAnsi="Times New Roman" w:cs="Times New Roman"/>
          <w:sz w:val="28"/>
          <w:szCs w:val="32"/>
        </w:rPr>
        <w:t>。</w:t>
      </w:r>
    </w:p>
    <w:p>
      <w:pPr>
        <w:adjustRightInd w:val="0"/>
        <w:snapToGrid w:val="0"/>
        <w:spacing w:before="156" w:beforeLines="50" w:after="156" w:afterLines="50" w:line="360" w:lineRule="auto"/>
        <w:ind w:firstLine="562" w:firstLineChars="200"/>
        <w:rPr>
          <w:rFonts w:ascii="Times New Roman" w:hAnsi="Times New Roman" w:cs="Times New Roman"/>
          <w:color w:val="000000"/>
          <w:sz w:val="28"/>
          <w:szCs w:val="32"/>
        </w:rPr>
      </w:pPr>
      <w:r>
        <w:rPr>
          <w:rFonts w:ascii="Times New Roman" w:hAnsi="Times New Roman" w:cs="Times New Roman"/>
          <w:b/>
          <w:color w:val="000000"/>
          <w:sz w:val="28"/>
          <w:szCs w:val="32"/>
        </w:rPr>
        <w:t>——工业企业载体快速发展。</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十三五</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期间，</w:t>
      </w:r>
      <w:r>
        <w:rPr>
          <w:rFonts w:hint="eastAsia" w:ascii="Times New Roman" w:hAnsi="Times New Roman" w:cs="Times New Roman"/>
          <w:color w:val="000000"/>
          <w:sz w:val="28"/>
          <w:szCs w:val="32"/>
        </w:rPr>
        <w:t>青口汽车工业园区</w:t>
      </w:r>
      <w:r>
        <w:rPr>
          <w:rFonts w:ascii="Times New Roman" w:hAnsi="Times New Roman" w:cs="Times New Roman"/>
          <w:color w:val="000000"/>
          <w:sz w:val="28"/>
          <w:szCs w:val="32"/>
        </w:rPr>
        <w:t>、闽侯经济技术开发区等载体标准化建设加快推进。“十三五”期间，</w:t>
      </w:r>
      <w:r>
        <w:rPr>
          <w:rFonts w:hint="eastAsia" w:ascii="Times New Roman" w:hAnsi="Times New Roman" w:cs="Times New Roman"/>
          <w:color w:val="000000"/>
          <w:sz w:val="28"/>
          <w:szCs w:val="32"/>
        </w:rPr>
        <w:t>青口汽车工业园区</w:t>
      </w:r>
      <w:r>
        <w:rPr>
          <w:rFonts w:ascii="Times New Roman" w:hAnsi="Times New Roman" w:cs="Times New Roman"/>
          <w:color w:val="000000"/>
          <w:sz w:val="28"/>
          <w:szCs w:val="32"/>
        </w:rPr>
        <w:t>规上工业产值累计超</w:t>
      </w:r>
      <w:r>
        <w:rPr>
          <w:rFonts w:hint="eastAsia" w:ascii="Times New Roman" w:hAnsi="Times New Roman" w:cs="Times New Roman"/>
          <w:color w:val="000000"/>
          <w:sz w:val="28"/>
          <w:szCs w:val="32"/>
        </w:rPr>
        <w:t>2</w:t>
      </w:r>
      <w:r>
        <w:rPr>
          <w:rFonts w:ascii="Times New Roman" w:hAnsi="Times New Roman" w:cs="Times New Roman"/>
          <w:color w:val="000000"/>
          <w:sz w:val="28"/>
          <w:szCs w:val="32"/>
        </w:rPr>
        <w:t>115亿元，闽侯经济技术开发区规上工业产值累计超</w:t>
      </w:r>
      <w:r>
        <w:rPr>
          <w:rFonts w:hint="eastAsia" w:ascii="Times New Roman" w:hAnsi="Times New Roman" w:cs="Times New Roman"/>
          <w:color w:val="000000"/>
          <w:sz w:val="28"/>
          <w:szCs w:val="32"/>
        </w:rPr>
        <w:t>8</w:t>
      </w:r>
      <w:r>
        <w:rPr>
          <w:rFonts w:ascii="Times New Roman" w:hAnsi="Times New Roman" w:cs="Times New Roman"/>
          <w:color w:val="000000"/>
          <w:sz w:val="28"/>
          <w:szCs w:val="32"/>
        </w:rPr>
        <w:t>92亿元。</w:t>
      </w:r>
      <w:r>
        <w:rPr>
          <w:rFonts w:ascii="Times New Roman" w:hAnsi="Times New Roman" w:cs="Times New Roman"/>
          <w:sz w:val="28"/>
          <w:szCs w:val="32"/>
        </w:rPr>
        <w:t>道口园区建</w:t>
      </w:r>
      <w:r>
        <w:rPr>
          <w:rFonts w:ascii="Times New Roman" w:hAnsi="Times New Roman" w:cs="Times New Roman"/>
          <w:color w:val="000000"/>
          <w:sz w:val="28"/>
          <w:szCs w:val="32"/>
        </w:rPr>
        <w:t>设不断推进，白沙园和鸿尾园着力发展创意家居、现代机械装备与</w:t>
      </w:r>
      <w:r>
        <w:rPr>
          <w:rFonts w:hint="eastAsia" w:ascii="Times New Roman" w:hAnsi="Times New Roman" w:cs="Times New Roman"/>
          <w:color w:val="000000"/>
          <w:sz w:val="28"/>
          <w:szCs w:val="32"/>
        </w:rPr>
        <w:t>高端建材制造业</w:t>
      </w:r>
      <w:r>
        <w:rPr>
          <w:rFonts w:ascii="Times New Roman" w:hAnsi="Times New Roman" w:cs="Times New Roman"/>
          <w:color w:val="000000"/>
          <w:sz w:val="28"/>
          <w:szCs w:val="32"/>
        </w:rPr>
        <w:t>，竹岐园着力发展高新技术和现代服务业。南通物流园吸纳和承载力不断增强，东南建材城、永辉物流、德康物流等商贸物流蓬勃发展；青口物流园、荆溪物流园、东台高端新材料产业园已规划完成并投入开工建设。</w:t>
      </w:r>
    </w:p>
    <w:p>
      <w:pPr>
        <w:adjustRightInd w:val="0"/>
        <w:snapToGrid w:val="0"/>
        <w:spacing w:before="156" w:beforeLines="50" w:after="156" w:afterLines="50" w:line="360" w:lineRule="auto"/>
        <w:ind w:firstLine="562" w:firstLineChars="200"/>
        <w:rPr>
          <w:rFonts w:ascii="Times New Roman" w:hAnsi="Times New Roman" w:cs="Times New Roman"/>
          <w:color w:val="000000"/>
          <w:sz w:val="28"/>
          <w:szCs w:val="32"/>
        </w:rPr>
      </w:pPr>
      <w:r>
        <w:rPr>
          <w:rFonts w:ascii="Times New Roman" w:hAnsi="Times New Roman" w:cs="Times New Roman"/>
          <w:b/>
          <w:color w:val="000000"/>
          <w:sz w:val="28"/>
          <w:szCs w:val="32"/>
        </w:rPr>
        <w:t>——信息化建设步伐加快。</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十三五</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期间，全县工业改造升级工作初见成效，培育推荐福建华威钜全</w:t>
      </w:r>
      <w:r>
        <w:rPr>
          <w:rFonts w:hint="eastAsia" w:ascii="Times New Roman" w:hAnsi="Times New Roman" w:cs="Times New Roman"/>
          <w:color w:val="000000"/>
          <w:sz w:val="28"/>
          <w:szCs w:val="32"/>
        </w:rPr>
        <w:t>、联泓交通器材2家企业申报列入“互联网+先进制造业”重点项目，培育推荐福州明芳、东南汽车、新成中正3家企业为工业互联网应用标杆企业。积极鼓励企业开展工业化和信息化的深度融合，累计培育推荐两化融合项目8项，下达数字化示范工程项目、试点应用项目及两化融合专项奖励金2</w:t>
      </w:r>
      <w:r>
        <w:rPr>
          <w:rFonts w:ascii="Times New Roman" w:hAnsi="Times New Roman" w:cs="Times New Roman"/>
          <w:color w:val="000000"/>
          <w:sz w:val="28"/>
          <w:szCs w:val="32"/>
        </w:rPr>
        <w:t>69.3万元</w:t>
      </w:r>
      <w:r>
        <w:rPr>
          <w:rFonts w:hint="eastAsia" w:ascii="Times New Roman" w:hAnsi="Times New Roman" w:cs="Times New Roman"/>
          <w:color w:val="000000"/>
          <w:sz w:val="28"/>
          <w:szCs w:val="32"/>
        </w:rPr>
        <w:t>。积极组织企业上云，目前全县“上云上平台”企业1</w:t>
      </w:r>
      <w:r>
        <w:rPr>
          <w:rFonts w:ascii="Times New Roman" w:hAnsi="Times New Roman" w:cs="Times New Roman"/>
          <w:color w:val="000000"/>
          <w:sz w:val="28"/>
          <w:szCs w:val="32"/>
        </w:rPr>
        <w:t>6家</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申报并下达</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上云上平台</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项目奖励1项</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5G基础设施网络加速布局</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目前全县</w:t>
      </w:r>
      <w:r>
        <w:rPr>
          <w:rFonts w:hint="eastAsia" w:ascii="Times New Roman" w:hAnsi="Times New Roman" w:cs="Times New Roman"/>
          <w:color w:val="000000"/>
          <w:sz w:val="28"/>
          <w:szCs w:val="32"/>
        </w:rPr>
        <w:t>5</w:t>
      </w:r>
      <w:r>
        <w:rPr>
          <w:rFonts w:ascii="Times New Roman" w:hAnsi="Times New Roman" w:cs="Times New Roman"/>
          <w:color w:val="000000"/>
          <w:sz w:val="28"/>
          <w:szCs w:val="32"/>
        </w:rPr>
        <w:t>G基站建设数量已达</w:t>
      </w:r>
      <w:r>
        <w:rPr>
          <w:rFonts w:hint="eastAsia" w:ascii="Times New Roman" w:hAnsi="Times New Roman" w:cs="Times New Roman"/>
          <w:color w:val="000000"/>
          <w:sz w:val="28"/>
          <w:szCs w:val="32"/>
        </w:rPr>
        <w:t>6</w:t>
      </w:r>
      <w:r>
        <w:rPr>
          <w:rFonts w:ascii="Times New Roman" w:hAnsi="Times New Roman" w:cs="Times New Roman"/>
          <w:color w:val="000000"/>
          <w:sz w:val="28"/>
          <w:szCs w:val="32"/>
        </w:rPr>
        <w:t>00个</w:t>
      </w:r>
      <w:r>
        <w:rPr>
          <w:rFonts w:hint="eastAsia" w:ascii="Times New Roman" w:hAnsi="Times New Roman" w:cs="Times New Roman"/>
          <w:color w:val="000000"/>
          <w:sz w:val="28"/>
          <w:szCs w:val="32"/>
        </w:rPr>
        <w:t>。</w:t>
      </w:r>
    </w:p>
    <w:p>
      <w:pPr>
        <w:adjustRightInd w:val="0"/>
        <w:snapToGrid w:val="0"/>
        <w:spacing w:before="156" w:beforeLines="50" w:after="156" w:afterLines="50" w:line="360" w:lineRule="auto"/>
        <w:ind w:firstLine="562" w:firstLineChars="200"/>
        <w:rPr>
          <w:rFonts w:ascii="Times New Roman" w:hAnsi="Times New Roman" w:cs="Times New Roman"/>
          <w:color w:val="000000"/>
          <w:sz w:val="28"/>
          <w:szCs w:val="32"/>
        </w:rPr>
      </w:pPr>
      <w:r>
        <w:rPr>
          <w:rFonts w:ascii="Times New Roman" w:hAnsi="Times New Roman" w:cs="Times New Roman"/>
          <w:b/>
          <w:color w:val="000000"/>
          <w:sz w:val="28"/>
          <w:szCs w:val="32"/>
        </w:rPr>
        <w:t>——绿色发展水平不断提升。</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十三五</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期间，闽侯县对</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散乱污</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企业进行登记造册，建立台账，开展规范整治，目前已完成204家整治工作。重点用能单位能耗在线监测系统建设快速推进，已动员东南汽车、宝丰管桩、六和机械、金牛水泥、炼石水泥</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奔驰汽车</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建华建材等</w:t>
      </w:r>
      <w:r>
        <w:rPr>
          <w:rFonts w:hint="eastAsia" w:ascii="Times New Roman" w:hAnsi="Times New Roman" w:cs="Times New Roman"/>
          <w:color w:val="000000"/>
          <w:sz w:val="28"/>
          <w:szCs w:val="32"/>
        </w:rPr>
        <w:t>7</w:t>
      </w:r>
      <w:r>
        <w:rPr>
          <w:rFonts w:ascii="Times New Roman" w:hAnsi="Times New Roman" w:cs="Times New Roman"/>
          <w:color w:val="000000"/>
          <w:sz w:val="28"/>
          <w:szCs w:val="32"/>
        </w:rPr>
        <w:t>家单位纳入在线监测系统。鼓励新能源汽车的发展，累计帮助相关企业申请专项补贴资金达1.136亿元。绿色制造初见成效，分别推荐金牛水泥</w:t>
      </w:r>
      <w:r>
        <w:rPr>
          <w:rFonts w:hint="eastAsia" w:ascii="Times New Roman" w:hAnsi="Times New Roman" w:cs="Times New Roman"/>
          <w:color w:val="000000"/>
          <w:sz w:val="28"/>
          <w:szCs w:val="32"/>
        </w:rPr>
        <w:t>、</w:t>
      </w:r>
      <w:r>
        <w:rPr>
          <w:rFonts w:hint="eastAsia" w:ascii="Times New Roman" w:hAnsi="Times New Roman" w:cs="Times New Roman"/>
          <w:color w:val="000000" w:themeColor="text1"/>
          <w:sz w:val="28"/>
          <w:szCs w:val="32"/>
          <w14:textFill>
            <w14:solidFill>
              <w14:schemeClr w14:val="tx1"/>
            </w14:solidFill>
          </w14:textFill>
        </w:rPr>
        <w:t>联泓</w:t>
      </w:r>
      <w:r>
        <w:rPr>
          <w:rFonts w:ascii="Times New Roman" w:hAnsi="Times New Roman" w:cs="Times New Roman"/>
          <w:color w:val="000000"/>
          <w:sz w:val="28"/>
          <w:szCs w:val="32"/>
        </w:rPr>
        <w:t>交通器材申报列入福建省第一第二批绿色制造名单，并列为绿色工厂示范单位。</w:t>
      </w:r>
    </w:p>
    <w:p>
      <w:pPr>
        <w:adjustRightInd w:val="0"/>
        <w:snapToGrid w:val="0"/>
        <w:spacing w:before="156" w:beforeLines="50" w:after="156" w:afterLines="50" w:line="360" w:lineRule="auto"/>
        <w:ind w:firstLine="562" w:firstLineChars="200"/>
        <w:rPr>
          <w:rFonts w:ascii="Times New Roman" w:hAnsi="Times New Roman" w:cs="Times New Roman"/>
          <w:color w:val="000000"/>
          <w:sz w:val="28"/>
          <w:szCs w:val="32"/>
        </w:rPr>
      </w:pPr>
      <w:r>
        <w:rPr>
          <w:rFonts w:ascii="Times New Roman" w:hAnsi="Times New Roman" w:cs="Times New Roman"/>
          <w:b/>
          <w:color w:val="000000"/>
          <w:sz w:val="28"/>
          <w:szCs w:val="32"/>
        </w:rPr>
        <w:t>——企业营商环境不断优化。</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十三五</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期间，闽侯县先后印发了《闽侯县促进民营经济健康发展的若干意见》《闽侯县深化“抓项目促发展”开展强产业补链条项目年行动方案》《关于进一步加强高新技术企业培育工作的若干措施》等产业发展政策，并积极贯彻落实国家、省、市的各项产业发展政策及惠企政策，积极</w:t>
      </w:r>
      <w:r>
        <w:rPr>
          <w:rFonts w:hint="eastAsia" w:ascii="Times New Roman" w:hAnsi="Times New Roman" w:cs="Times New Roman"/>
          <w:color w:val="000000"/>
          <w:sz w:val="28"/>
          <w:szCs w:val="32"/>
        </w:rPr>
        <w:t>组织</w:t>
      </w:r>
      <w:r>
        <w:rPr>
          <w:rFonts w:ascii="Times New Roman" w:hAnsi="Times New Roman" w:cs="Times New Roman"/>
          <w:color w:val="000000"/>
          <w:sz w:val="28"/>
          <w:szCs w:val="32"/>
        </w:rPr>
        <w:t>申报并兑现惠企资金，</w:t>
      </w:r>
      <w:r>
        <w:rPr>
          <w:rFonts w:hint="eastAsia" w:ascii="Times New Roman" w:hAnsi="Times New Roman" w:cs="Times New Roman"/>
          <w:color w:val="000000"/>
          <w:sz w:val="28"/>
          <w:szCs w:val="32"/>
        </w:rPr>
        <w:t>2</w:t>
      </w:r>
      <w:r>
        <w:rPr>
          <w:rFonts w:ascii="Times New Roman" w:hAnsi="Times New Roman" w:cs="Times New Roman"/>
          <w:color w:val="000000"/>
          <w:sz w:val="28"/>
          <w:szCs w:val="32"/>
        </w:rPr>
        <w:t>020年已兑现省市县各级惠企资金共</w:t>
      </w:r>
      <w:r>
        <w:rPr>
          <w:rFonts w:hint="eastAsia" w:ascii="Times New Roman" w:hAnsi="Times New Roman" w:cs="Times New Roman"/>
          <w:color w:val="000000"/>
          <w:sz w:val="28"/>
          <w:szCs w:val="32"/>
        </w:rPr>
        <w:t>1</w:t>
      </w:r>
      <w:r>
        <w:rPr>
          <w:rFonts w:ascii="Times New Roman" w:hAnsi="Times New Roman" w:cs="Times New Roman"/>
          <w:color w:val="000000"/>
          <w:sz w:val="28"/>
          <w:szCs w:val="32"/>
        </w:rPr>
        <w:t>3354.56万元</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大力扶持中小企业发展，累计为中小企业提供275笔担保融资贷款</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共计</w:t>
      </w:r>
      <w:r>
        <w:rPr>
          <w:rFonts w:hint="eastAsia" w:ascii="Times New Roman" w:hAnsi="Times New Roman" w:cs="Times New Roman"/>
          <w:color w:val="000000"/>
          <w:sz w:val="28"/>
          <w:szCs w:val="32"/>
        </w:rPr>
        <w:t>3</w:t>
      </w:r>
      <w:r>
        <w:rPr>
          <w:rFonts w:ascii="Times New Roman" w:hAnsi="Times New Roman" w:cs="Times New Roman"/>
          <w:color w:val="000000"/>
          <w:sz w:val="28"/>
          <w:szCs w:val="32"/>
        </w:rPr>
        <w:t>.58亿元</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解决企业纾困资金</w:t>
      </w:r>
      <w:r>
        <w:rPr>
          <w:rFonts w:hint="eastAsia" w:ascii="Times New Roman" w:hAnsi="Times New Roman" w:cs="Times New Roman"/>
          <w:color w:val="000000"/>
          <w:sz w:val="28"/>
          <w:szCs w:val="32"/>
        </w:rPr>
        <w:t>（市、县级）8</w:t>
      </w:r>
      <w:r>
        <w:rPr>
          <w:rFonts w:ascii="Times New Roman" w:hAnsi="Times New Roman" w:cs="Times New Roman"/>
          <w:color w:val="000000"/>
          <w:sz w:val="28"/>
          <w:szCs w:val="32"/>
        </w:rPr>
        <w:t>8家</w:t>
      </w:r>
      <w:r>
        <w:rPr>
          <w:rFonts w:hint="eastAsia" w:ascii="Times New Roman" w:hAnsi="Times New Roman" w:cs="Times New Roman"/>
          <w:color w:val="000000"/>
          <w:sz w:val="28"/>
          <w:szCs w:val="32"/>
        </w:rPr>
        <w:t>。“互联网+政务服务”不断向纵深推进，成立闽侯县行政服务中心青口分中心，“最多跑一趟”“一趟不用跑”事项改革分别提高到9</w:t>
      </w:r>
      <w:r>
        <w:rPr>
          <w:rFonts w:ascii="Times New Roman" w:hAnsi="Times New Roman" w:cs="Times New Roman"/>
          <w:color w:val="000000"/>
          <w:sz w:val="28"/>
          <w:szCs w:val="32"/>
        </w:rPr>
        <w:t>6</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和</w:t>
      </w:r>
      <w:r>
        <w:rPr>
          <w:rFonts w:hint="eastAsia" w:ascii="Times New Roman" w:hAnsi="Times New Roman" w:cs="Times New Roman"/>
          <w:color w:val="000000"/>
          <w:sz w:val="28"/>
          <w:szCs w:val="32"/>
        </w:rPr>
        <w:t>6</w:t>
      </w:r>
      <w:r>
        <w:rPr>
          <w:rFonts w:ascii="Times New Roman" w:hAnsi="Times New Roman" w:cs="Times New Roman"/>
          <w:color w:val="000000"/>
          <w:sz w:val="28"/>
          <w:szCs w:val="32"/>
        </w:rPr>
        <w:t>5</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以上</w:t>
      </w:r>
      <w:r>
        <w:rPr>
          <w:rFonts w:hint="eastAsia" w:ascii="Times New Roman" w:hAnsi="Times New Roman" w:cs="Times New Roman"/>
          <w:color w:val="000000"/>
          <w:sz w:val="28"/>
          <w:szCs w:val="32"/>
        </w:rPr>
        <w:t>。</w:t>
      </w:r>
    </w:p>
    <w:p>
      <w:pPr>
        <w:keepNext/>
        <w:keepLines/>
        <w:spacing w:before="120" w:after="120" w:line="360" w:lineRule="auto"/>
        <w:jc w:val="left"/>
        <w:outlineLvl w:val="1"/>
        <w:rPr>
          <w:rFonts w:ascii="Times New Roman" w:hAnsi="Times New Roman" w:eastAsia="黑体" w:cs="Times New Roman"/>
          <w:b/>
          <w:bCs/>
          <w:sz w:val="32"/>
          <w:szCs w:val="32"/>
        </w:rPr>
      </w:pPr>
      <w:bookmarkStart w:id="12" w:name="_Toc445134268"/>
      <w:bookmarkStart w:id="13" w:name="_Toc487466248"/>
      <w:bookmarkStart w:id="14" w:name="_Toc91669961"/>
      <w:r>
        <w:rPr>
          <w:rFonts w:ascii="Times New Roman" w:hAnsi="Times New Roman" w:eastAsia="黑体" w:cs="Times New Roman"/>
          <w:b/>
          <w:bCs/>
          <w:sz w:val="32"/>
          <w:szCs w:val="32"/>
        </w:rPr>
        <w:t>二、发展</w:t>
      </w:r>
      <w:bookmarkEnd w:id="12"/>
      <w:r>
        <w:rPr>
          <w:rFonts w:ascii="Times New Roman" w:hAnsi="Times New Roman" w:eastAsia="黑体" w:cs="Times New Roman"/>
          <w:b/>
          <w:bCs/>
          <w:sz w:val="32"/>
          <w:szCs w:val="32"/>
        </w:rPr>
        <w:t>形势</w:t>
      </w:r>
      <w:bookmarkEnd w:id="13"/>
      <w:bookmarkEnd w:id="14"/>
    </w:p>
    <w:p>
      <w:pPr>
        <w:keepNext/>
        <w:keepLines/>
        <w:spacing w:before="120" w:after="120" w:line="360" w:lineRule="auto"/>
        <w:jc w:val="left"/>
        <w:outlineLvl w:val="2"/>
        <w:rPr>
          <w:rFonts w:ascii="Times New Roman" w:hAnsi="Times New Roman" w:cs="Times New Roman"/>
          <w:b/>
          <w:bCs/>
          <w:sz w:val="30"/>
          <w:szCs w:val="32"/>
        </w:rPr>
      </w:pPr>
      <w:bookmarkStart w:id="15" w:name="_Toc91669962"/>
      <w:r>
        <w:rPr>
          <w:rFonts w:hint="eastAsia" w:ascii="Times New Roman" w:hAnsi="Times New Roman" w:cs="Times New Roman"/>
          <w:b/>
          <w:bCs/>
          <w:sz w:val="30"/>
          <w:szCs w:val="32"/>
        </w:rPr>
        <w:t>（一）国际形势</w:t>
      </w:r>
      <w:bookmarkEnd w:id="15"/>
    </w:p>
    <w:p>
      <w:pPr>
        <w:adjustRightInd w:val="0"/>
        <w:snapToGrid w:val="0"/>
        <w:spacing w:before="156" w:beforeLines="50" w:after="156" w:afterLines="50" w:line="360" w:lineRule="auto"/>
        <w:ind w:firstLine="560" w:firstLineChars="200"/>
        <w:rPr>
          <w:rFonts w:ascii="Times New Roman" w:hAnsi="Times New Roman" w:cs="Times New Roman"/>
          <w:color w:val="000000"/>
          <w:sz w:val="28"/>
          <w:szCs w:val="32"/>
        </w:rPr>
      </w:pPr>
      <w:r>
        <w:rPr>
          <w:rFonts w:ascii="Times New Roman" w:hAnsi="Times New Roman" w:cs="Times New Roman"/>
          <w:color w:val="000000"/>
          <w:sz w:val="28"/>
          <w:szCs w:val="32"/>
        </w:rPr>
        <w:t>从全球经济发展形势来看，世界经济处于缓慢复苏阶段，国际化进入分化期，世界正处于大变局时期。一方面，在不断发展的科技革命和生产国际化的推动下，各国经济相互依赖、相互渗透，全球新一轮产业分工和贸易格局加速重塑，我国产业发展进入从规模增长向质量提升的重要窗口期。另一方面，国际形势多变，地区冲突不断升级，黑天鹅、灰犀牛事件频发，贸易保护主义、单边主义、民粹主义等逆全球化暗流涌动，阻碍了国内产业全球化进程。现阶段，中国正从边缘走向世界舞台中心，国际话语权和影响力提升，已经具有创造机遇的能力，因此，把握全球新一轮科技革命和产业变革机遇，推动产业高质量发展，实现新旧动能顺畅接续转换，抢占全球产业发展制高点成为</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十四五</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时期的重要课题。</w:t>
      </w:r>
    </w:p>
    <w:p>
      <w:pPr>
        <w:keepNext/>
        <w:keepLines/>
        <w:spacing w:before="120" w:after="120" w:line="360" w:lineRule="auto"/>
        <w:jc w:val="left"/>
        <w:outlineLvl w:val="2"/>
        <w:rPr>
          <w:rFonts w:ascii="Times New Roman" w:hAnsi="Times New Roman" w:cs="Times New Roman"/>
          <w:b/>
          <w:bCs/>
          <w:sz w:val="30"/>
          <w:szCs w:val="32"/>
        </w:rPr>
      </w:pPr>
      <w:bookmarkStart w:id="16" w:name="_Toc91669963"/>
      <w:r>
        <w:rPr>
          <w:rFonts w:hint="eastAsia" w:ascii="Times New Roman" w:hAnsi="Times New Roman" w:cs="Times New Roman"/>
          <w:b/>
          <w:bCs/>
          <w:sz w:val="30"/>
          <w:szCs w:val="32"/>
        </w:rPr>
        <w:t>（二）国内形势</w:t>
      </w:r>
      <w:bookmarkEnd w:id="16"/>
    </w:p>
    <w:p>
      <w:pPr>
        <w:adjustRightInd w:val="0"/>
        <w:snapToGrid w:val="0"/>
        <w:spacing w:before="156" w:beforeLines="50" w:after="156" w:afterLines="50" w:line="360" w:lineRule="auto"/>
        <w:ind w:firstLine="560" w:firstLineChars="200"/>
        <w:rPr>
          <w:rFonts w:ascii="Times New Roman" w:hAnsi="Times New Roman" w:cs="Times New Roman"/>
          <w:color w:val="000000"/>
          <w:sz w:val="28"/>
          <w:szCs w:val="32"/>
        </w:rPr>
      </w:pPr>
      <w:r>
        <w:rPr>
          <w:rFonts w:ascii="Times New Roman" w:hAnsi="Times New Roman" w:cs="Times New Roman"/>
          <w:color w:val="000000"/>
          <w:sz w:val="28"/>
          <w:szCs w:val="32"/>
        </w:rPr>
        <w:t>从国内环境来看，我国主要矛盾在</w:t>
      </w:r>
      <w:r>
        <w:rPr>
          <w:rFonts w:hint="eastAsia" w:ascii="Times New Roman" w:hAnsi="Times New Roman" w:cs="Times New Roman"/>
          <w:color w:val="000000"/>
          <w:sz w:val="28"/>
          <w:szCs w:val="32"/>
        </w:rPr>
        <w:t>“十三五”</w:t>
      </w:r>
      <w:r>
        <w:rPr>
          <w:rFonts w:ascii="Times New Roman" w:hAnsi="Times New Roman" w:cs="Times New Roman"/>
          <w:color w:val="000000"/>
          <w:sz w:val="28"/>
          <w:szCs w:val="32"/>
        </w:rPr>
        <w:t>时期已经发生转变，从</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人民日益增长的物质文化需要同落后的社会生产之间的矛盾</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到</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人民日益增长的美好生活需要和不平衡不充分的发展之间的矛盾</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，民族发展面临新时代、新阶段，新矛盾、新问题，新机遇、新挑战，新目标、新任务等一系列新情况。新一轮产业技术革命将继续推进，</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十四五</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时期将是以5G为主要标志的新技术突破期和应用期，人工智能、生物技术、能源技术、智能制造技术等将带来系列重大产业变革，其深度和广度将超过以往的工业革命，将为产业结构和社会就业带来革命性影响。因此，</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十四五</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时期产业布局应围绕高质量发展和创新发展，布局新兴产业，助力传统产业转型升级。</w:t>
      </w:r>
    </w:p>
    <w:p>
      <w:pPr>
        <w:adjustRightInd w:val="0"/>
        <w:snapToGrid w:val="0"/>
        <w:spacing w:before="156" w:beforeLines="50" w:after="156" w:afterLines="50" w:line="360" w:lineRule="auto"/>
        <w:ind w:firstLine="560" w:firstLineChars="200"/>
        <w:rPr>
          <w:rFonts w:ascii="Times New Roman" w:hAnsi="Times New Roman" w:cs="Times New Roman"/>
          <w:color w:val="000000"/>
          <w:sz w:val="28"/>
          <w:szCs w:val="32"/>
        </w:rPr>
      </w:pPr>
      <w:r>
        <w:rPr>
          <w:rFonts w:ascii="Times New Roman" w:hAnsi="Times New Roman" w:cs="Times New Roman"/>
          <w:color w:val="000000"/>
          <w:sz w:val="28"/>
          <w:szCs w:val="32"/>
        </w:rPr>
        <w:t>从闽侯现状看，</w:t>
      </w:r>
      <w:bookmarkEnd w:id="4"/>
      <w:bookmarkEnd w:id="5"/>
      <w:bookmarkEnd w:id="6"/>
      <w:bookmarkEnd w:id="7"/>
      <w:r>
        <w:rPr>
          <w:rFonts w:ascii="Times New Roman" w:hAnsi="Times New Roman" w:cs="Times New Roman"/>
          <w:color w:val="000000"/>
          <w:sz w:val="28"/>
          <w:szCs w:val="32"/>
        </w:rPr>
        <w:t>全县规模工业总产值已迈上千亿元台阶。新一代信息技术的普及与信息基础设施建设持续推动闽侯传统优势产业的转型升级和结构优化调整；</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海丝</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核心区、福建自贸试验区、</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数字福州</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海上福州</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平台福州</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、福州强省会战略、福州新区建设等上位战略带来的政策、资本、技术等方面的外溢作用为闽侯产业实现科学发展</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跨越发展提供了难得的发展机遇；近年来，</w:t>
      </w:r>
      <w:r>
        <w:rPr>
          <w:rFonts w:hint="eastAsia" w:ascii="Times New Roman" w:hAnsi="Times New Roman" w:cs="Times New Roman"/>
          <w:color w:val="000000"/>
          <w:sz w:val="28"/>
          <w:szCs w:val="32"/>
        </w:rPr>
        <w:t>闽侯</w:t>
      </w:r>
      <w:r>
        <w:rPr>
          <w:rFonts w:ascii="Times New Roman" w:hAnsi="Times New Roman" w:cs="Times New Roman"/>
          <w:color w:val="000000"/>
          <w:sz w:val="28"/>
          <w:szCs w:val="32"/>
        </w:rPr>
        <w:t>迎来区域协同分工合作的契机，</w:t>
      </w:r>
      <w:r>
        <w:rPr>
          <w:rFonts w:hint="eastAsia" w:ascii="Times New Roman" w:hAnsi="Times New Roman" w:cs="Times New Roman"/>
          <w:color w:val="000000"/>
          <w:sz w:val="28"/>
          <w:szCs w:val="32"/>
        </w:rPr>
        <w:t>主动融入福州现代化国际城市建设，并努力发展成为建设现代化国际城市的排头兵</w:t>
      </w:r>
      <w:r>
        <w:rPr>
          <w:rFonts w:ascii="Times New Roman" w:hAnsi="Times New Roman" w:cs="Times New Roman"/>
          <w:color w:val="000000"/>
          <w:sz w:val="28"/>
          <w:szCs w:val="32"/>
        </w:rPr>
        <w:t>。</w:t>
      </w:r>
    </w:p>
    <w:p>
      <w:pPr>
        <w:keepNext/>
        <w:keepLines/>
        <w:spacing w:before="120" w:after="120" w:line="360" w:lineRule="auto"/>
        <w:jc w:val="left"/>
        <w:outlineLvl w:val="1"/>
        <w:rPr>
          <w:rFonts w:ascii="Times New Roman" w:hAnsi="Times New Roman" w:eastAsia="黑体" w:cs="Times New Roman"/>
          <w:b/>
          <w:bCs/>
          <w:sz w:val="32"/>
          <w:szCs w:val="32"/>
        </w:rPr>
      </w:pPr>
      <w:bookmarkStart w:id="17" w:name="_Toc91669964"/>
      <w:r>
        <w:rPr>
          <w:rFonts w:ascii="Times New Roman" w:hAnsi="Times New Roman" w:eastAsia="黑体" w:cs="Times New Roman"/>
          <w:b/>
          <w:bCs/>
          <w:sz w:val="32"/>
          <w:szCs w:val="32"/>
        </w:rPr>
        <w:t>三、存在问题</w:t>
      </w:r>
      <w:bookmarkEnd w:id="17"/>
    </w:p>
    <w:p>
      <w:pPr>
        <w:adjustRightInd w:val="0"/>
        <w:snapToGrid w:val="0"/>
        <w:spacing w:before="156" w:beforeLines="50" w:after="156" w:afterLines="50" w:line="360" w:lineRule="auto"/>
        <w:ind w:firstLine="560" w:firstLineChars="200"/>
        <w:rPr>
          <w:rFonts w:ascii="Times New Roman" w:hAnsi="Times New Roman" w:cs="Times New Roman"/>
          <w:color w:val="000000"/>
          <w:sz w:val="28"/>
          <w:szCs w:val="32"/>
        </w:rPr>
      </w:pPr>
      <w:r>
        <w:rPr>
          <w:rFonts w:ascii="Times New Roman" w:hAnsi="Times New Roman" w:cs="Times New Roman"/>
          <w:color w:val="000000"/>
          <w:sz w:val="28"/>
          <w:szCs w:val="32"/>
        </w:rPr>
        <w:t>当前</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闽侯在工业领域已经取得了长足的进步</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但仍存在一些问题</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主要表现在</w:t>
      </w:r>
      <w:r>
        <w:rPr>
          <w:rFonts w:hint="eastAsia" w:ascii="Times New Roman" w:hAnsi="Times New Roman" w:cs="Times New Roman"/>
          <w:color w:val="000000"/>
          <w:sz w:val="28"/>
          <w:szCs w:val="32"/>
        </w:rPr>
        <w:t>：</w:t>
      </w:r>
    </w:p>
    <w:p>
      <w:pPr>
        <w:adjustRightInd w:val="0"/>
        <w:snapToGrid w:val="0"/>
        <w:spacing w:before="156" w:beforeLines="50" w:after="156" w:afterLines="50" w:line="360" w:lineRule="auto"/>
        <w:ind w:firstLine="560" w:firstLineChars="200"/>
        <w:rPr>
          <w:rFonts w:ascii="仿宋" w:hAnsi="仿宋" w:cs="Times New Roman"/>
          <w:color w:val="000000"/>
          <w:sz w:val="28"/>
          <w:szCs w:val="32"/>
        </w:rPr>
      </w:pPr>
      <w:r>
        <w:rPr>
          <w:rFonts w:ascii="仿宋" w:hAnsi="仿宋" w:cs="Times New Roman"/>
          <w:color w:val="000000"/>
          <w:sz w:val="28"/>
          <w:szCs w:val="32"/>
        </w:rPr>
        <w:t>一是信息化基础薄弱</w:t>
      </w:r>
      <w:r>
        <w:rPr>
          <w:rFonts w:hint="eastAsia" w:ascii="仿宋" w:hAnsi="仿宋" w:cs="Times New Roman"/>
          <w:color w:val="000000"/>
          <w:sz w:val="28"/>
          <w:szCs w:val="32"/>
        </w:rPr>
        <w:t>，企业创新能力不足。近年来，国家倡导的传统产业转型升级、新旧动能转换等产业发展形态贯穿于区域产业发展进程，但闽侯县自身信息化发展较晚，数字基础较薄弱，以新一代信息技术带动全县各大产业高质量发展的动力和能力严重不足。此外，与国内发达地区相比，</w:t>
      </w:r>
      <w:r>
        <w:rPr>
          <w:rFonts w:ascii="仿宋" w:hAnsi="仿宋" w:cs="Times New Roman"/>
          <w:color w:val="000000"/>
          <w:sz w:val="28"/>
          <w:szCs w:val="32"/>
        </w:rPr>
        <w:t>闽侯县企业</w:t>
      </w:r>
      <w:r>
        <w:rPr>
          <w:rFonts w:hint="eastAsia" w:ascii="仿宋" w:hAnsi="仿宋" w:cs="Times New Roman"/>
          <w:color w:val="000000"/>
          <w:sz w:val="28"/>
          <w:szCs w:val="32"/>
        </w:rPr>
        <w:t>整体</w:t>
      </w:r>
      <w:r>
        <w:rPr>
          <w:rFonts w:ascii="仿宋" w:hAnsi="仿宋" w:cs="Times New Roman"/>
          <w:color w:val="000000"/>
          <w:sz w:val="28"/>
          <w:szCs w:val="32"/>
        </w:rPr>
        <w:t>创新能力在研发队伍</w:t>
      </w:r>
      <w:r>
        <w:rPr>
          <w:rFonts w:hint="eastAsia" w:ascii="仿宋" w:hAnsi="仿宋" w:cs="Times New Roman"/>
          <w:color w:val="000000"/>
          <w:sz w:val="28"/>
          <w:szCs w:val="32"/>
        </w:rPr>
        <w:t>、</w:t>
      </w:r>
      <w:r>
        <w:rPr>
          <w:rFonts w:ascii="仿宋" w:hAnsi="仿宋" w:cs="Times New Roman"/>
          <w:color w:val="000000"/>
          <w:sz w:val="28"/>
          <w:szCs w:val="32"/>
        </w:rPr>
        <w:t>研发投入</w:t>
      </w:r>
      <w:r>
        <w:rPr>
          <w:rFonts w:hint="eastAsia" w:ascii="仿宋" w:hAnsi="仿宋" w:cs="Times New Roman"/>
          <w:color w:val="000000"/>
          <w:sz w:val="28"/>
          <w:szCs w:val="32"/>
        </w:rPr>
        <w:t>、</w:t>
      </w:r>
      <w:r>
        <w:rPr>
          <w:rFonts w:ascii="仿宋" w:hAnsi="仿宋" w:cs="Times New Roman"/>
          <w:color w:val="000000"/>
          <w:sz w:val="28"/>
          <w:szCs w:val="32"/>
        </w:rPr>
        <w:t>研发产出等方面均存在一定差距</w:t>
      </w:r>
      <w:r>
        <w:rPr>
          <w:rFonts w:hint="eastAsia" w:ascii="仿宋" w:hAnsi="仿宋" w:cs="Times New Roman"/>
          <w:color w:val="000000"/>
          <w:sz w:val="28"/>
          <w:szCs w:val="32"/>
        </w:rPr>
        <w:t>，</w:t>
      </w:r>
      <w:r>
        <w:rPr>
          <w:rFonts w:ascii="仿宋" w:hAnsi="仿宋" w:cs="Times New Roman"/>
          <w:color w:val="000000"/>
          <w:sz w:val="28"/>
          <w:szCs w:val="32"/>
        </w:rPr>
        <w:t>许多领域缺乏具有自主知识产权的核心技术</w:t>
      </w:r>
      <w:r>
        <w:rPr>
          <w:rFonts w:hint="eastAsia" w:ascii="仿宋" w:hAnsi="仿宋" w:cs="Times New Roman"/>
          <w:color w:val="000000"/>
          <w:sz w:val="28"/>
          <w:szCs w:val="32"/>
        </w:rPr>
        <w:t>。本地</w:t>
      </w:r>
      <w:r>
        <w:rPr>
          <w:rFonts w:ascii="仿宋" w:hAnsi="仿宋" w:cs="Times New Roman"/>
          <w:color w:val="000000"/>
          <w:sz w:val="28"/>
          <w:szCs w:val="32"/>
        </w:rPr>
        <w:t>企业</w:t>
      </w:r>
      <w:r>
        <w:rPr>
          <w:rFonts w:hint="eastAsia" w:ascii="仿宋" w:hAnsi="仿宋" w:cs="Times New Roman"/>
          <w:color w:val="000000"/>
          <w:sz w:val="28"/>
          <w:szCs w:val="32"/>
        </w:rPr>
        <w:t>在</w:t>
      </w:r>
      <w:r>
        <w:rPr>
          <w:rFonts w:ascii="仿宋" w:hAnsi="仿宋" w:cs="Times New Roman"/>
          <w:color w:val="000000"/>
          <w:sz w:val="28"/>
          <w:szCs w:val="32"/>
        </w:rPr>
        <w:t>产品加工装配环节的占比较大</w:t>
      </w:r>
      <w:r>
        <w:rPr>
          <w:rFonts w:hint="eastAsia" w:ascii="仿宋" w:hAnsi="仿宋" w:cs="Times New Roman"/>
          <w:color w:val="000000"/>
          <w:sz w:val="28"/>
          <w:szCs w:val="32"/>
        </w:rPr>
        <w:t>，产业链附加值较低。</w:t>
      </w:r>
      <w:r>
        <w:rPr>
          <w:rFonts w:ascii="仿宋" w:hAnsi="仿宋" w:cs="Times New Roman"/>
          <w:color w:val="000000"/>
          <w:sz w:val="28"/>
          <w:szCs w:val="32"/>
        </w:rPr>
        <w:t>龙头企业创新势头不足</w:t>
      </w:r>
      <w:r>
        <w:rPr>
          <w:rFonts w:hint="eastAsia" w:ascii="仿宋" w:hAnsi="仿宋" w:cs="Times New Roman"/>
          <w:color w:val="000000"/>
          <w:sz w:val="28"/>
          <w:szCs w:val="32"/>
        </w:rPr>
        <w:t>，</w:t>
      </w:r>
      <w:r>
        <w:rPr>
          <w:rFonts w:ascii="仿宋" w:hAnsi="仿宋" w:cs="Times New Roman"/>
          <w:color w:val="000000"/>
          <w:sz w:val="28"/>
          <w:szCs w:val="32"/>
        </w:rPr>
        <w:t>多数中小企业的研发实力较为薄弱</w:t>
      </w:r>
      <w:r>
        <w:rPr>
          <w:rFonts w:hint="eastAsia" w:ascii="仿宋" w:hAnsi="仿宋" w:cs="Times New Roman"/>
          <w:color w:val="000000"/>
          <w:sz w:val="28"/>
          <w:szCs w:val="32"/>
        </w:rPr>
        <w:t>。</w:t>
      </w:r>
    </w:p>
    <w:p>
      <w:pPr>
        <w:adjustRightInd w:val="0"/>
        <w:snapToGrid w:val="0"/>
        <w:spacing w:before="156" w:beforeLines="50" w:after="156" w:afterLines="50" w:line="360" w:lineRule="auto"/>
        <w:ind w:firstLine="560" w:firstLineChars="200"/>
        <w:rPr>
          <w:rFonts w:ascii="仿宋" w:hAnsi="仿宋" w:cs="Times New Roman"/>
          <w:color w:val="000000"/>
          <w:sz w:val="28"/>
          <w:szCs w:val="32"/>
        </w:rPr>
      </w:pPr>
      <w:r>
        <w:rPr>
          <w:rFonts w:hint="eastAsia" w:ascii="仿宋" w:hAnsi="仿宋" w:cs="Times New Roman"/>
          <w:color w:val="000000"/>
          <w:sz w:val="28"/>
          <w:szCs w:val="32"/>
        </w:rPr>
        <w:t>二是产业关联程度不高，产业链条延伸有限。闽侯县六大传统支柱产业以加工制造为主，与目前大力推进的战略新兴产业不能形成良好的产业互动，新旧产业仍处于割裂状态，未能把握产业融合机会，产业间关联度较低。此外，闽侯县缺少高水平产业创新平台和高新技术企业，产业创新支撑需进一步强化，由科技成果转化形成的新经济增长点不明显，进一步制约了支柱产业链条向纵深方向延伸。</w:t>
      </w:r>
    </w:p>
    <w:p>
      <w:pPr>
        <w:adjustRightInd w:val="0"/>
        <w:snapToGrid w:val="0"/>
        <w:spacing w:before="156" w:beforeLines="50" w:after="156" w:afterLines="50" w:line="360" w:lineRule="auto"/>
        <w:ind w:firstLine="560" w:firstLineChars="200"/>
        <w:rPr>
          <w:rFonts w:ascii="仿宋" w:hAnsi="仿宋" w:cs="Times New Roman"/>
          <w:color w:val="000000"/>
          <w:sz w:val="28"/>
          <w:szCs w:val="32"/>
        </w:rPr>
      </w:pPr>
      <w:r>
        <w:rPr>
          <w:rFonts w:hint="eastAsia" w:ascii="仿宋" w:hAnsi="仿宋" w:cs="Times New Roman"/>
          <w:color w:val="000000"/>
          <w:sz w:val="28"/>
          <w:szCs w:val="32"/>
        </w:rPr>
        <w:t>三</w:t>
      </w:r>
      <w:r>
        <w:rPr>
          <w:rFonts w:ascii="仿宋" w:hAnsi="仿宋" w:cs="Times New Roman"/>
          <w:color w:val="000000"/>
          <w:sz w:val="28"/>
          <w:szCs w:val="32"/>
        </w:rPr>
        <w:t>是高层次创新创业人才比较缺乏</w:t>
      </w:r>
      <w:r>
        <w:rPr>
          <w:rFonts w:hint="eastAsia" w:ascii="仿宋" w:hAnsi="仿宋" w:cs="Times New Roman"/>
          <w:color w:val="000000"/>
          <w:sz w:val="28"/>
          <w:szCs w:val="32"/>
        </w:rPr>
        <w:t>。闽侯县高校教育资源丰富，但与福州及其他区县相比，闽侯产业基础优势不明显，人才引培机制不健全，对各类人才尤其是高端人才的吸引力有限。就现阶段而言，结构合理、素质优良的高端人才队伍仍未真正形成，闽侯本地</w:t>
      </w:r>
      <w:r>
        <w:rPr>
          <w:rFonts w:ascii="仿宋" w:hAnsi="仿宋" w:cs="Times New Roman"/>
          <w:color w:val="000000"/>
          <w:sz w:val="28"/>
          <w:szCs w:val="32"/>
        </w:rPr>
        <w:t>产业持续发展的动力不足</w:t>
      </w:r>
      <w:r>
        <w:rPr>
          <w:rFonts w:hint="eastAsia" w:ascii="仿宋" w:hAnsi="仿宋" w:cs="Times New Roman"/>
          <w:color w:val="000000"/>
          <w:sz w:val="28"/>
          <w:szCs w:val="32"/>
        </w:rPr>
        <w:t>，制约闽侯县域经济的进一步发展。</w:t>
      </w:r>
    </w:p>
    <w:p>
      <w:pPr>
        <w:adjustRightInd w:val="0"/>
        <w:snapToGrid w:val="0"/>
        <w:spacing w:before="156" w:beforeLines="50" w:after="156" w:afterLines="50" w:line="360" w:lineRule="auto"/>
        <w:ind w:firstLine="560" w:firstLineChars="200"/>
        <w:rPr>
          <w:rFonts w:ascii="仿宋" w:hAnsi="仿宋" w:cs="Times New Roman"/>
          <w:color w:val="000000"/>
          <w:sz w:val="28"/>
          <w:szCs w:val="32"/>
        </w:rPr>
      </w:pPr>
      <w:r>
        <w:rPr>
          <w:rFonts w:hint="eastAsia" w:ascii="仿宋" w:hAnsi="仿宋" w:cs="Times New Roman"/>
          <w:color w:val="000000"/>
          <w:sz w:val="28"/>
          <w:szCs w:val="32"/>
        </w:rPr>
        <w:t>四</w:t>
      </w:r>
      <w:r>
        <w:rPr>
          <w:rFonts w:ascii="仿宋" w:hAnsi="仿宋" w:cs="Times New Roman"/>
          <w:color w:val="000000"/>
          <w:sz w:val="28"/>
          <w:szCs w:val="32"/>
        </w:rPr>
        <w:t>是开发区内土地利用率有待提高</w:t>
      </w:r>
      <w:r>
        <w:rPr>
          <w:rFonts w:hint="eastAsia" w:ascii="仿宋" w:hAnsi="仿宋" w:cs="Times New Roman"/>
          <w:color w:val="000000"/>
          <w:sz w:val="28"/>
          <w:szCs w:val="32"/>
        </w:rPr>
        <w:t>。园区内部分地块属性被业主转为仓储用地，在一定程度上造成了土地资源的浪费，导致部分需要扩张、扩产的企业发展受限。</w:t>
      </w:r>
    </w:p>
    <w:p>
      <w:pPr>
        <w:adjustRightInd w:val="0"/>
        <w:snapToGrid w:val="0"/>
        <w:spacing w:before="120" w:after="120" w:line="360" w:lineRule="auto"/>
        <w:ind w:firstLine="560" w:firstLineChars="200"/>
        <w:rPr>
          <w:rFonts w:ascii="Times New Roman" w:hAnsi="Times New Roman" w:eastAsia="仿宋_GB2312" w:cs="Times New Roman"/>
          <w:color w:val="000000"/>
          <w:sz w:val="28"/>
          <w:szCs w:val="32"/>
        </w:rPr>
      </w:pPr>
      <w:r>
        <w:rPr>
          <w:rFonts w:ascii="Times New Roman" w:hAnsi="Times New Roman" w:eastAsia="仿宋_GB2312" w:cs="Times New Roman"/>
          <w:color w:val="000000"/>
          <w:sz w:val="28"/>
          <w:szCs w:val="32"/>
        </w:rPr>
        <w:br w:type="page"/>
      </w:r>
    </w:p>
    <w:p>
      <w:pPr>
        <w:keepNext/>
        <w:keepLines/>
        <w:spacing w:before="120" w:after="120" w:line="578" w:lineRule="auto"/>
        <w:jc w:val="center"/>
        <w:outlineLvl w:val="0"/>
        <w:rPr>
          <w:rFonts w:ascii="Times New Roman" w:hAnsi="Times New Roman" w:eastAsia="黑体" w:cs="Times New Roman"/>
          <w:b/>
          <w:bCs/>
          <w:kern w:val="44"/>
          <w:sz w:val="36"/>
          <w:szCs w:val="44"/>
        </w:rPr>
      </w:pPr>
      <w:bookmarkStart w:id="18" w:name="_Toc91669965"/>
      <w:r>
        <w:rPr>
          <w:rFonts w:ascii="Times New Roman" w:hAnsi="Times New Roman" w:eastAsia="黑体" w:cs="Times New Roman"/>
          <w:b/>
          <w:bCs/>
          <w:kern w:val="44"/>
          <w:sz w:val="36"/>
          <w:szCs w:val="44"/>
        </w:rPr>
        <w:t>第二章</w:t>
      </w:r>
      <w:r>
        <w:rPr>
          <w:rFonts w:hint="eastAsia" w:ascii="Times New Roman" w:hAnsi="Times New Roman" w:eastAsia="黑体" w:cs="Times New Roman"/>
          <w:b/>
          <w:bCs/>
          <w:kern w:val="44"/>
          <w:sz w:val="36"/>
          <w:szCs w:val="44"/>
        </w:rPr>
        <w:t xml:space="preserve"> </w:t>
      </w:r>
      <w:r>
        <w:rPr>
          <w:rFonts w:ascii="Times New Roman" w:hAnsi="Times New Roman" w:eastAsia="黑体" w:cs="Times New Roman"/>
          <w:b/>
          <w:bCs/>
          <w:kern w:val="44"/>
          <w:sz w:val="36"/>
          <w:szCs w:val="44"/>
        </w:rPr>
        <w:t>指导思想和发展目标</w:t>
      </w:r>
      <w:bookmarkEnd w:id="18"/>
    </w:p>
    <w:p>
      <w:pPr>
        <w:keepNext/>
        <w:keepLines/>
        <w:spacing w:before="120" w:after="120" w:line="360" w:lineRule="auto"/>
        <w:jc w:val="left"/>
        <w:outlineLvl w:val="1"/>
        <w:rPr>
          <w:rFonts w:ascii="Times New Roman" w:hAnsi="Times New Roman" w:eastAsia="黑体" w:cs="Times New Roman"/>
          <w:b/>
          <w:bCs/>
          <w:sz w:val="32"/>
          <w:szCs w:val="32"/>
        </w:rPr>
      </w:pPr>
      <w:bookmarkStart w:id="19" w:name="_Toc91669966"/>
      <w:r>
        <w:rPr>
          <w:rFonts w:ascii="Times New Roman" w:hAnsi="Times New Roman" w:eastAsia="黑体" w:cs="Times New Roman"/>
          <w:b/>
          <w:bCs/>
          <w:sz w:val="32"/>
          <w:szCs w:val="32"/>
        </w:rPr>
        <w:t>一、指导思想</w:t>
      </w:r>
      <w:bookmarkEnd w:id="19"/>
    </w:p>
    <w:p>
      <w:pPr>
        <w:ind w:firstLine="560" w:firstLineChars="200"/>
        <w:rPr>
          <w:rFonts w:ascii="Times New Roman" w:hAnsi="Times New Roman" w:cs="Times New Roman"/>
          <w:bCs/>
          <w:sz w:val="28"/>
          <w:szCs w:val="32"/>
        </w:rPr>
      </w:pPr>
      <w:r>
        <w:rPr>
          <w:rFonts w:hint="eastAsia" w:ascii="Times New Roman" w:hAnsi="Times New Roman" w:cs="Times New Roman"/>
          <w:bCs/>
          <w:sz w:val="28"/>
          <w:szCs w:val="32"/>
        </w:rPr>
        <w:t>以习近平新时代中国特色社会主义思想为指导，</w:t>
      </w:r>
      <w:r>
        <w:rPr>
          <w:rFonts w:hint="eastAsia" w:ascii="Times New Roman" w:hAnsi="Times New Roman" w:cs="Times New Roman"/>
          <w:bCs/>
          <w:sz w:val="28"/>
          <w:szCs w:val="32"/>
          <w:lang w:eastAsia="zh-CN"/>
        </w:rPr>
        <w:t>深入</w:t>
      </w:r>
      <w:r>
        <w:rPr>
          <w:rFonts w:hint="eastAsia" w:ascii="Times New Roman" w:hAnsi="Times New Roman" w:cs="Times New Roman"/>
          <w:bCs/>
          <w:sz w:val="28"/>
          <w:szCs w:val="32"/>
          <w:highlight w:val="none"/>
        </w:rPr>
        <w:t>贯彻党的十九大</w:t>
      </w:r>
      <w:r>
        <w:rPr>
          <w:rFonts w:hint="eastAsia" w:ascii="Times New Roman" w:hAnsi="Times New Roman" w:cs="Times New Roman"/>
          <w:bCs/>
          <w:sz w:val="28"/>
          <w:szCs w:val="32"/>
          <w:highlight w:val="none"/>
          <w:lang w:eastAsia="zh-CN"/>
        </w:rPr>
        <w:t>及</w:t>
      </w:r>
      <w:r>
        <w:rPr>
          <w:rFonts w:hint="eastAsia" w:ascii="Times New Roman" w:hAnsi="Times New Roman" w:cs="Times New Roman"/>
          <w:bCs/>
          <w:sz w:val="28"/>
          <w:szCs w:val="32"/>
          <w:highlight w:val="none"/>
        </w:rPr>
        <w:t>历届全会</w:t>
      </w:r>
      <w:r>
        <w:rPr>
          <w:rFonts w:hint="eastAsia" w:ascii="Times New Roman" w:hAnsi="Times New Roman" w:cs="Times New Roman"/>
          <w:bCs/>
          <w:sz w:val="28"/>
          <w:szCs w:val="32"/>
          <w:highlight w:val="none"/>
          <w:lang w:eastAsia="zh-CN"/>
        </w:rPr>
        <w:t>精神，认真落实</w:t>
      </w:r>
      <w:r>
        <w:rPr>
          <w:rFonts w:hint="eastAsia" w:ascii="Times New Roman" w:hAnsi="Times New Roman" w:cs="Times New Roman"/>
          <w:bCs/>
          <w:sz w:val="28"/>
          <w:szCs w:val="32"/>
          <w:highlight w:val="none"/>
        </w:rPr>
        <w:t>省、市、</w:t>
      </w:r>
      <w:r>
        <w:rPr>
          <w:rFonts w:hint="eastAsia" w:ascii="Times New Roman" w:hAnsi="Times New Roman" w:cs="Times New Roman"/>
          <w:bCs/>
          <w:sz w:val="28"/>
          <w:szCs w:val="32"/>
          <w:highlight w:val="none"/>
          <w:lang w:eastAsia="zh-CN"/>
        </w:rPr>
        <w:t>县历届</w:t>
      </w:r>
      <w:r>
        <w:rPr>
          <w:rFonts w:hint="eastAsia" w:ascii="Times New Roman" w:hAnsi="Times New Roman" w:cs="Times New Roman"/>
          <w:bCs/>
          <w:sz w:val="28"/>
          <w:szCs w:val="32"/>
          <w:highlight w:val="none"/>
        </w:rPr>
        <w:t>全会</w:t>
      </w:r>
      <w:r>
        <w:rPr>
          <w:rFonts w:hint="eastAsia" w:ascii="Times New Roman" w:hAnsi="Times New Roman" w:cs="Times New Roman"/>
          <w:bCs/>
          <w:sz w:val="28"/>
          <w:szCs w:val="32"/>
          <w:highlight w:val="none"/>
          <w:lang w:eastAsia="zh-CN"/>
        </w:rPr>
        <w:t>部署</w:t>
      </w:r>
      <w:r>
        <w:rPr>
          <w:rFonts w:hint="eastAsia" w:ascii="Times New Roman" w:hAnsi="Times New Roman" w:cs="Times New Roman"/>
          <w:bCs/>
          <w:sz w:val="28"/>
          <w:szCs w:val="32"/>
          <w:highlight w:val="none"/>
        </w:rPr>
        <w:t>。</w:t>
      </w:r>
      <w:r>
        <w:rPr>
          <w:rFonts w:hint="eastAsia" w:ascii="Times New Roman" w:hAnsi="Times New Roman" w:cs="Times New Roman"/>
          <w:bCs/>
          <w:sz w:val="28"/>
          <w:szCs w:val="32"/>
        </w:rPr>
        <w:t>牢固树立和落实创新、协调、绿色、开放、共享的发展理念，坚定不移传承“3820”战略工程思想精髓，紧抓</w:t>
      </w:r>
      <w:r>
        <w:rPr>
          <w:rFonts w:ascii="Times New Roman" w:hAnsi="Times New Roman" w:cs="Times New Roman"/>
          <w:bCs/>
          <w:sz w:val="28"/>
          <w:szCs w:val="32"/>
        </w:rPr>
        <w:t>《</w:t>
      </w:r>
      <w:r>
        <w:rPr>
          <w:rFonts w:hint="eastAsia" w:ascii="Times New Roman" w:hAnsi="Times New Roman" w:cs="Times New Roman"/>
          <w:bCs/>
          <w:sz w:val="28"/>
          <w:szCs w:val="32"/>
        </w:rPr>
        <w:t>区域全面经济伙伴关系协定》（R</w:t>
      </w:r>
      <w:r>
        <w:rPr>
          <w:rFonts w:ascii="Times New Roman" w:hAnsi="Times New Roman" w:cs="Times New Roman"/>
          <w:bCs/>
          <w:sz w:val="28"/>
          <w:szCs w:val="32"/>
        </w:rPr>
        <w:t>CEP</w:t>
      </w:r>
      <w:r>
        <w:rPr>
          <w:rFonts w:hint="eastAsia" w:ascii="Times New Roman" w:hAnsi="Times New Roman" w:cs="Times New Roman"/>
          <w:bCs/>
          <w:sz w:val="28"/>
          <w:szCs w:val="32"/>
        </w:rPr>
        <w:t>）</w:t>
      </w:r>
      <w:r>
        <w:rPr>
          <w:rFonts w:ascii="Times New Roman" w:hAnsi="Times New Roman" w:cs="Times New Roman"/>
          <w:bCs/>
          <w:sz w:val="28"/>
          <w:szCs w:val="32"/>
        </w:rPr>
        <w:t>签署</w:t>
      </w:r>
      <w:r>
        <w:rPr>
          <w:rFonts w:hint="eastAsia" w:ascii="Times New Roman" w:hAnsi="Times New Roman" w:cs="Times New Roman"/>
          <w:bCs/>
          <w:sz w:val="28"/>
          <w:szCs w:val="32"/>
        </w:rPr>
        <w:t>重大战略机遇，充分发挥“福州大学城、东南汽车城、区位近主城”三大独特优势，加快建设“东南科教名城、八闽产业强城、省会宜居新城”。坚持系统观念，以深化供给侧结构性改革为主线，以“强主链、延短链、谋新链”为抓手，以工业企业提质增效和转型升级为着力点，增强内生发展动力，激发开放合作动力，努力融入国内大循环为主体、国内国际双循环相互促进的新发展格局，加快工业与信息化、制造业与服务业的深度融合，提档升级支柱产业，提升发展传统优势产业，培育壮大战略性新兴产业，加快发展现代生产性服务业，全力推动产业向中高端迈进，努力构建现代工业体系，推进信息化建设，走具有闽侯特色的新型工业化道路，争当福州市发展排头兵，奋力实现高质量、跨越式发展。</w:t>
      </w:r>
    </w:p>
    <w:p>
      <w:pPr>
        <w:keepNext/>
        <w:keepLines/>
        <w:spacing w:before="120" w:after="120" w:line="360" w:lineRule="auto"/>
        <w:jc w:val="left"/>
        <w:outlineLvl w:val="1"/>
        <w:rPr>
          <w:rFonts w:ascii="Times New Roman" w:hAnsi="Times New Roman" w:eastAsia="黑体" w:cs="Times New Roman"/>
          <w:b/>
          <w:bCs/>
          <w:sz w:val="32"/>
          <w:szCs w:val="32"/>
        </w:rPr>
      </w:pPr>
      <w:bookmarkStart w:id="20" w:name="_Toc91669967"/>
      <w:r>
        <w:rPr>
          <w:rFonts w:ascii="Times New Roman" w:hAnsi="Times New Roman" w:eastAsia="黑体" w:cs="Times New Roman"/>
          <w:b/>
          <w:bCs/>
          <w:sz w:val="32"/>
          <w:szCs w:val="32"/>
        </w:rPr>
        <w:t>二、总体原则</w:t>
      </w:r>
      <w:bookmarkEnd w:id="20"/>
    </w:p>
    <w:p>
      <w:pPr>
        <w:ind w:firstLine="562" w:firstLineChars="200"/>
        <w:rPr>
          <w:rFonts w:ascii="Times New Roman" w:hAnsi="Times New Roman" w:cs="Times New Roman"/>
          <w:sz w:val="28"/>
          <w:szCs w:val="32"/>
        </w:rPr>
      </w:pPr>
      <w:r>
        <w:rPr>
          <w:rFonts w:hint="eastAsia" w:ascii="Times New Roman" w:hAnsi="Times New Roman" w:cs="Times New Roman"/>
          <w:b/>
          <w:sz w:val="28"/>
          <w:szCs w:val="32"/>
        </w:rPr>
        <w:t>——立足创新发展，实现能级提升。</w:t>
      </w:r>
      <w:r>
        <w:rPr>
          <w:rFonts w:hint="eastAsia" w:ascii="Times New Roman" w:hAnsi="Times New Roman" w:cs="Times New Roman"/>
          <w:sz w:val="28"/>
          <w:szCs w:val="32"/>
        </w:rPr>
        <w:t>坚持以创新引领高质量发展为根本，以提升科技创新能力为重点，建立和提升一批省级创新平台，强化政产学研合作，积极开展产业技术协同创新，采用先进适用技术和高新技术，改造提升传统产业，培育壮大新兴产业，推动技术、人才、资金等创新资源集聚，聚焦闽侯特色，打造若干具有全国影响力的创新型产业集群。</w:t>
      </w:r>
    </w:p>
    <w:p>
      <w:pPr>
        <w:ind w:firstLine="562" w:firstLineChars="200"/>
        <w:rPr>
          <w:rFonts w:ascii="Times New Roman" w:hAnsi="Times New Roman" w:cs="Times New Roman"/>
          <w:bCs/>
          <w:sz w:val="28"/>
          <w:szCs w:val="32"/>
        </w:rPr>
      </w:pPr>
      <w:r>
        <w:rPr>
          <w:rFonts w:hint="eastAsia" w:ascii="Times New Roman" w:hAnsi="Times New Roman" w:cs="Times New Roman"/>
          <w:b/>
          <w:sz w:val="28"/>
          <w:szCs w:val="32"/>
        </w:rPr>
        <w:t>——立足协调发展，实现质量提升。</w:t>
      </w:r>
      <w:r>
        <w:rPr>
          <w:rFonts w:hint="eastAsia" w:ascii="Times New Roman" w:hAnsi="Times New Roman" w:cs="Times New Roman"/>
          <w:bCs/>
          <w:sz w:val="28"/>
          <w:szCs w:val="32"/>
        </w:rPr>
        <w:t>大力推进信息化和工业化深度融合，不断提升工业数字化、网络化、智能化水平。着力加强产业之间的协作融合，大力发展生产性服务业，加快推进制造业服务化。依托新型城镇化建设，加快推进产城互动发展，落地智慧闽侯建设，全面提升工业和信息化发展质量。</w:t>
      </w:r>
    </w:p>
    <w:p>
      <w:pPr>
        <w:ind w:firstLine="562" w:firstLineChars="200"/>
        <w:rPr>
          <w:rFonts w:ascii="Times New Roman" w:hAnsi="Times New Roman" w:cs="Times New Roman"/>
          <w:bCs/>
          <w:sz w:val="28"/>
          <w:szCs w:val="32"/>
        </w:rPr>
      </w:pPr>
      <w:r>
        <w:rPr>
          <w:rFonts w:hint="eastAsia" w:ascii="Times New Roman" w:hAnsi="Times New Roman" w:cs="Times New Roman"/>
          <w:b/>
          <w:sz w:val="28"/>
          <w:szCs w:val="32"/>
        </w:rPr>
        <w:t>——立足绿色发展，实现持续提升。</w:t>
      </w:r>
      <w:r>
        <w:rPr>
          <w:rFonts w:hint="eastAsia" w:ascii="Times New Roman" w:hAnsi="Times New Roman" w:cs="Times New Roman"/>
          <w:bCs/>
          <w:sz w:val="28"/>
          <w:szCs w:val="32"/>
        </w:rPr>
        <w:t>紧紧围绕转变发展方式，积极培育和发展低能耗、低排放、高效益、高技术含量的绿色产业，实施一批绿色循环低碳项目，着力提升资源集约利用水平，加快打造绿色生态和集约集聚型现代工业体系，加快推进产业结构优化升级，全面提升闽侯县工业和信息化的可持续发展能力。</w:t>
      </w:r>
    </w:p>
    <w:p>
      <w:pPr>
        <w:ind w:firstLine="562" w:firstLineChars="200"/>
        <w:rPr>
          <w:rFonts w:ascii="Times New Roman" w:hAnsi="Times New Roman" w:cs="Times New Roman"/>
          <w:bCs/>
          <w:sz w:val="28"/>
          <w:szCs w:val="32"/>
        </w:rPr>
      </w:pPr>
      <w:r>
        <w:rPr>
          <w:rFonts w:hint="eastAsia" w:ascii="Times New Roman" w:hAnsi="Times New Roman" w:cs="Times New Roman"/>
          <w:b/>
          <w:sz w:val="28"/>
          <w:szCs w:val="32"/>
        </w:rPr>
        <w:t>——立足开放发展，实现空间提升。</w:t>
      </w:r>
      <w:r>
        <w:rPr>
          <w:rFonts w:hint="eastAsia" w:ascii="Times New Roman" w:hAnsi="Times New Roman" w:cs="Times New Roman"/>
          <w:bCs/>
          <w:sz w:val="28"/>
          <w:szCs w:val="32"/>
        </w:rPr>
        <w:t>升级建筑建材、食品饮料、服装加工、工艺品加工等传统优势产业，加速推动汽车和机电产业，布局新材料、软件与信息服务业等战略性新兴产业。主动融合福州主城发展，强化招商引资，聚焦产业链发展，扎实推进青口汽车工业园区、闽侯经济技术开发区的标准化改造提升，加快建设东台高端新材料产业园、兰圃汽配园、鸿尾高端建材产业园等战略平台，落地一批工业和信息化领域的旗舰项目。</w:t>
      </w:r>
    </w:p>
    <w:p>
      <w:pPr>
        <w:keepNext/>
        <w:keepLines/>
        <w:spacing w:before="120" w:after="120" w:line="360" w:lineRule="auto"/>
        <w:jc w:val="left"/>
        <w:outlineLvl w:val="1"/>
        <w:rPr>
          <w:rFonts w:ascii="Times New Roman" w:hAnsi="Times New Roman" w:eastAsia="黑体" w:cs="Times New Roman"/>
          <w:b/>
          <w:bCs/>
          <w:sz w:val="32"/>
          <w:szCs w:val="32"/>
        </w:rPr>
      </w:pPr>
      <w:bookmarkStart w:id="21" w:name="_Toc91669968"/>
      <w:r>
        <w:rPr>
          <w:rFonts w:ascii="Times New Roman" w:hAnsi="Times New Roman" w:eastAsia="黑体" w:cs="Times New Roman"/>
          <w:b/>
          <w:bCs/>
          <w:sz w:val="32"/>
          <w:szCs w:val="32"/>
        </w:rPr>
        <w:t>三、总体战略</w:t>
      </w:r>
      <w:bookmarkEnd w:id="21"/>
    </w:p>
    <w:p>
      <w:pPr>
        <w:ind w:firstLine="562" w:firstLineChars="200"/>
        <w:rPr>
          <w:rFonts w:ascii="Times New Roman" w:hAnsi="Times New Roman" w:cs="Times New Roman"/>
          <w:sz w:val="28"/>
          <w:szCs w:val="32"/>
        </w:rPr>
      </w:pPr>
      <w:r>
        <w:rPr>
          <w:rFonts w:hint="eastAsia" w:ascii="Times New Roman" w:hAnsi="Times New Roman" w:cs="Times New Roman"/>
          <w:b/>
          <w:sz w:val="28"/>
          <w:szCs w:val="32"/>
        </w:rPr>
        <w:t>——创新驱动战略。</w:t>
      </w:r>
      <w:r>
        <w:rPr>
          <w:rFonts w:hint="eastAsia" w:ascii="Times New Roman" w:hAnsi="Times New Roman" w:cs="Times New Roman"/>
          <w:sz w:val="28"/>
          <w:szCs w:val="32"/>
        </w:rPr>
        <w:t>在加强研发团队建设和产学研合作的基础上，以协同创新为重点，加快突破关键核心和共性技术，大力推进科技成果转化和产业化，着力加强企业为主体的产业技术创新体系建设，积极推进产业模式创新和体制机制创新。</w:t>
      </w:r>
    </w:p>
    <w:p>
      <w:pPr>
        <w:ind w:firstLine="562" w:firstLineChars="200"/>
        <w:rPr>
          <w:rFonts w:ascii="Times New Roman" w:hAnsi="Times New Roman" w:cs="Times New Roman"/>
          <w:sz w:val="28"/>
          <w:szCs w:val="32"/>
        </w:rPr>
      </w:pPr>
      <w:r>
        <w:rPr>
          <w:rFonts w:hint="eastAsia" w:ascii="Times New Roman" w:hAnsi="Times New Roman" w:cs="Times New Roman"/>
          <w:b/>
          <w:sz w:val="28"/>
          <w:szCs w:val="32"/>
        </w:rPr>
        <w:t>——优产业链战略。</w:t>
      </w:r>
      <w:r>
        <w:rPr>
          <w:rFonts w:hint="eastAsia" w:ascii="Times New Roman" w:hAnsi="Times New Roman" w:cs="Times New Roman"/>
          <w:sz w:val="28"/>
          <w:szCs w:val="32"/>
        </w:rPr>
        <w:t>围绕装备制造、新能源汽车、食品加工、服装加工、工艺品加工等行业，协同联动上下游产业发展，向上打通与新材料、电子材料制造、汽车电子等产业的连接，向下带动先进制造、大数据等战略性新兴产业的发展，强化研发设计、信息服务、商贸物流等关键生产性服务业发展，积极培育新业态、新模式，加快向价值链高端环节延伸，全面提升制造业服务化水平。</w:t>
      </w:r>
    </w:p>
    <w:p>
      <w:pPr>
        <w:ind w:firstLine="562" w:firstLineChars="200"/>
        <w:rPr>
          <w:rFonts w:ascii="Times New Roman" w:hAnsi="Times New Roman" w:cs="Times New Roman"/>
          <w:sz w:val="28"/>
          <w:szCs w:val="32"/>
        </w:rPr>
      </w:pPr>
      <w:r>
        <w:rPr>
          <w:rFonts w:hint="eastAsia" w:ascii="Times New Roman" w:hAnsi="Times New Roman" w:cs="Times New Roman"/>
          <w:b/>
          <w:sz w:val="28"/>
          <w:szCs w:val="32"/>
        </w:rPr>
        <w:t>——智能制造战略。</w:t>
      </w:r>
      <w:r>
        <w:rPr>
          <w:rFonts w:hint="eastAsia" w:ascii="Times New Roman" w:hAnsi="Times New Roman" w:cs="Times New Roman"/>
          <w:sz w:val="28"/>
          <w:szCs w:val="32"/>
        </w:rPr>
        <w:t>全面融合电子信息、</w:t>
      </w:r>
      <w:r>
        <w:rPr>
          <w:rFonts w:ascii="Times New Roman" w:hAnsi="Times New Roman" w:cs="Times New Roman"/>
          <w:sz w:val="28"/>
          <w:szCs w:val="32"/>
        </w:rPr>
        <w:t>计算机控制技术、光机电一体化技术、先进材料与加工技术，推动工业自动化、数字化、网络化、智能化转型，加快布局新能源汽车整车及零部件、高端装备整机及零部件等产业，以绿色制造、先进制造为重点，全面提升工业发展的智能制造水平。</w:t>
      </w:r>
    </w:p>
    <w:p>
      <w:pPr>
        <w:keepNext/>
        <w:keepLines/>
        <w:spacing w:before="120" w:after="120" w:line="360" w:lineRule="auto"/>
        <w:jc w:val="left"/>
        <w:outlineLvl w:val="1"/>
        <w:rPr>
          <w:rFonts w:ascii="Times New Roman" w:hAnsi="Times New Roman" w:eastAsia="黑体" w:cs="Times New Roman"/>
          <w:b/>
          <w:bCs/>
          <w:sz w:val="32"/>
          <w:szCs w:val="32"/>
        </w:rPr>
      </w:pPr>
      <w:bookmarkStart w:id="22" w:name="_Toc91669969"/>
      <w:r>
        <w:rPr>
          <w:rFonts w:ascii="Times New Roman" w:hAnsi="Times New Roman" w:eastAsia="黑体" w:cs="Times New Roman"/>
          <w:b/>
          <w:bCs/>
          <w:sz w:val="32"/>
          <w:szCs w:val="32"/>
        </w:rPr>
        <w:t>四、发展目标</w:t>
      </w:r>
      <w:bookmarkEnd w:id="22"/>
    </w:p>
    <w:p>
      <w:pPr>
        <w:ind w:firstLine="560" w:firstLineChars="200"/>
        <w:rPr>
          <w:rFonts w:ascii="Times New Roman" w:hAnsi="Times New Roman" w:cs="Times New Roman"/>
          <w:sz w:val="28"/>
          <w:szCs w:val="32"/>
        </w:rPr>
      </w:pPr>
      <w:r>
        <w:rPr>
          <w:rFonts w:hint="eastAsia" w:ascii="Times New Roman" w:hAnsi="Times New Roman" w:cs="Times New Roman"/>
          <w:sz w:val="28"/>
          <w:szCs w:val="32"/>
        </w:rPr>
        <w:t>到</w:t>
      </w:r>
      <w:r>
        <w:rPr>
          <w:rFonts w:ascii="Times New Roman" w:hAnsi="Times New Roman" w:cs="Times New Roman"/>
          <w:sz w:val="28"/>
          <w:szCs w:val="32"/>
        </w:rPr>
        <w:t>2025年，全县工业总体规模稳步壮大，产业结构明显优化，生态绿色发展体系逐步优化，工业企业质量效益水平显著提升，两化融合水平显著提升，创新驱动能力显著提升。</w:t>
      </w:r>
    </w:p>
    <w:p>
      <w:pPr>
        <w:keepNext/>
        <w:keepLines/>
        <w:spacing w:before="120" w:after="120" w:line="360" w:lineRule="auto"/>
        <w:jc w:val="left"/>
        <w:outlineLvl w:val="2"/>
        <w:rPr>
          <w:rFonts w:ascii="Times New Roman" w:hAnsi="Times New Roman" w:cs="Times New Roman"/>
          <w:b/>
          <w:bCs/>
          <w:sz w:val="30"/>
          <w:szCs w:val="32"/>
        </w:rPr>
      </w:pPr>
      <w:bookmarkStart w:id="23" w:name="_Toc91669970"/>
      <w:r>
        <w:rPr>
          <w:rFonts w:ascii="Times New Roman" w:hAnsi="Times New Roman" w:cs="Times New Roman"/>
          <w:b/>
          <w:bCs/>
          <w:sz w:val="30"/>
          <w:szCs w:val="32"/>
        </w:rPr>
        <w:t>（一）规模壮大</w:t>
      </w:r>
      <w:bookmarkEnd w:id="23"/>
    </w:p>
    <w:p>
      <w:pPr>
        <w:ind w:firstLine="560" w:firstLineChars="200"/>
        <w:rPr>
          <w:rFonts w:ascii="Times New Roman" w:hAnsi="Times New Roman" w:cs="Times New Roman"/>
          <w:sz w:val="28"/>
          <w:szCs w:val="32"/>
        </w:rPr>
      </w:pPr>
      <w:r>
        <w:rPr>
          <w:rFonts w:hint="eastAsia" w:ascii="Times New Roman" w:hAnsi="Times New Roman" w:cs="Times New Roman"/>
          <w:sz w:val="28"/>
          <w:szCs w:val="32"/>
        </w:rPr>
        <w:t>到2025年，全县工业增加值达到6</w:t>
      </w:r>
      <w:r>
        <w:rPr>
          <w:rFonts w:ascii="Times New Roman" w:hAnsi="Times New Roman" w:cs="Times New Roman"/>
          <w:sz w:val="28"/>
          <w:szCs w:val="32"/>
        </w:rPr>
        <w:t>80</w:t>
      </w:r>
      <w:r>
        <w:rPr>
          <w:rFonts w:hint="eastAsia" w:ascii="Times New Roman" w:hAnsi="Times New Roman" w:cs="Times New Roman"/>
          <w:sz w:val="28"/>
          <w:szCs w:val="32"/>
        </w:rPr>
        <w:t>亿元以上。企业实力明显增强，规模以上工业企业达到8</w:t>
      </w:r>
      <w:r>
        <w:rPr>
          <w:rFonts w:ascii="Times New Roman" w:hAnsi="Times New Roman" w:cs="Times New Roman"/>
          <w:sz w:val="28"/>
          <w:szCs w:val="32"/>
        </w:rPr>
        <w:t>00</w:t>
      </w:r>
      <w:r>
        <w:rPr>
          <w:rFonts w:hint="eastAsia" w:ascii="Times New Roman" w:hAnsi="Times New Roman" w:cs="Times New Roman"/>
          <w:sz w:val="28"/>
          <w:szCs w:val="32"/>
        </w:rPr>
        <w:t>家，规模以上工业企业增加值达到5</w:t>
      </w:r>
      <w:r>
        <w:rPr>
          <w:rFonts w:ascii="Times New Roman" w:hAnsi="Times New Roman" w:cs="Times New Roman"/>
          <w:sz w:val="28"/>
          <w:szCs w:val="32"/>
        </w:rPr>
        <w:t>60亿元</w:t>
      </w:r>
      <w:r>
        <w:rPr>
          <w:rFonts w:hint="eastAsia" w:ascii="Times New Roman" w:hAnsi="Times New Roman" w:cs="Times New Roman"/>
          <w:sz w:val="28"/>
          <w:szCs w:val="32"/>
        </w:rPr>
        <w:t>，产值超100亿元企业3家，产值50-100亿元企业3家、产值10-50亿元企业2</w:t>
      </w:r>
      <w:r>
        <w:rPr>
          <w:rFonts w:ascii="Times New Roman" w:hAnsi="Times New Roman" w:cs="Times New Roman"/>
          <w:sz w:val="28"/>
          <w:szCs w:val="32"/>
        </w:rPr>
        <w:t>0</w:t>
      </w:r>
      <w:r>
        <w:rPr>
          <w:rFonts w:hint="eastAsia" w:ascii="Times New Roman" w:hAnsi="Times New Roman" w:cs="Times New Roman"/>
          <w:sz w:val="28"/>
          <w:szCs w:val="32"/>
        </w:rPr>
        <w:t>家。规上工业战略性新兴产业增加值占规上工业增加值比增达到50%以上。</w:t>
      </w:r>
    </w:p>
    <w:p>
      <w:pPr>
        <w:keepNext/>
        <w:keepLines/>
        <w:spacing w:before="120" w:after="120" w:line="360" w:lineRule="auto"/>
        <w:jc w:val="left"/>
        <w:outlineLvl w:val="2"/>
        <w:rPr>
          <w:rFonts w:ascii="Times New Roman" w:hAnsi="Times New Roman" w:cs="Times New Roman"/>
          <w:b/>
          <w:bCs/>
          <w:sz w:val="30"/>
          <w:szCs w:val="32"/>
        </w:rPr>
      </w:pPr>
      <w:bookmarkStart w:id="24" w:name="_Toc91669971"/>
      <w:r>
        <w:rPr>
          <w:rFonts w:ascii="Times New Roman" w:hAnsi="Times New Roman" w:cs="Times New Roman"/>
          <w:b/>
          <w:bCs/>
          <w:sz w:val="30"/>
          <w:szCs w:val="32"/>
        </w:rPr>
        <w:t>（二）创新驱动</w:t>
      </w:r>
      <w:bookmarkEnd w:id="24"/>
    </w:p>
    <w:p>
      <w:pPr>
        <w:ind w:firstLine="560" w:firstLineChars="200"/>
        <w:rPr>
          <w:rFonts w:ascii="Times New Roman" w:hAnsi="Times New Roman" w:cs="Times New Roman"/>
          <w:sz w:val="28"/>
          <w:szCs w:val="32"/>
        </w:rPr>
      </w:pPr>
      <w:r>
        <w:rPr>
          <w:rFonts w:hint="eastAsia" w:ascii="Times New Roman" w:hAnsi="Times New Roman" w:cs="Times New Roman"/>
          <w:sz w:val="28"/>
          <w:szCs w:val="32"/>
        </w:rPr>
        <w:t>到</w:t>
      </w:r>
      <w:r>
        <w:rPr>
          <w:rFonts w:ascii="Times New Roman" w:hAnsi="Times New Roman" w:cs="Times New Roman"/>
          <w:sz w:val="28"/>
          <w:szCs w:val="32"/>
        </w:rPr>
        <w:t>2025年，技术进步对工业增长的贡献率明显提高。全</w:t>
      </w:r>
      <w:r>
        <w:rPr>
          <w:rFonts w:hint="eastAsia" w:ascii="Times New Roman" w:hAnsi="Times New Roman" w:cs="Times New Roman"/>
          <w:sz w:val="28"/>
          <w:szCs w:val="32"/>
        </w:rPr>
        <w:t>县</w:t>
      </w:r>
      <w:r>
        <w:rPr>
          <w:rFonts w:ascii="Times New Roman" w:hAnsi="Times New Roman" w:cs="Times New Roman"/>
          <w:sz w:val="28"/>
          <w:szCs w:val="32"/>
        </w:rPr>
        <w:t>规上工业企业研发费用达到</w:t>
      </w:r>
      <w:r>
        <w:rPr>
          <w:rFonts w:hint="eastAsia" w:ascii="Times New Roman" w:hAnsi="Times New Roman" w:cs="Times New Roman"/>
          <w:sz w:val="28"/>
          <w:szCs w:val="32"/>
        </w:rPr>
        <w:t>2</w:t>
      </w:r>
      <w:r>
        <w:rPr>
          <w:rFonts w:ascii="Times New Roman" w:hAnsi="Times New Roman" w:cs="Times New Roman"/>
          <w:sz w:val="28"/>
          <w:szCs w:val="32"/>
        </w:rPr>
        <w:t>5亿元</w:t>
      </w:r>
      <w:r>
        <w:rPr>
          <w:rFonts w:hint="eastAsia" w:ascii="Times New Roman" w:hAnsi="Times New Roman" w:cs="Times New Roman"/>
          <w:sz w:val="28"/>
          <w:szCs w:val="32"/>
        </w:rPr>
        <w:t>，</w:t>
      </w:r>
      <w:r>
        <w:rPr>
          <w:rFonts w:ascii="Times New Roman" w:hAnsi="Times New Roman" w:cs="Times New Roman"/>
          <w:sz w:val="28"/>
          <w:szCs w:val="32"/>
        </w:rPr>
        <w:t>高新技术企业数量达到</w:t>
      </w:r>
      <w:r>
        <w:rPr>
          <w:rFonts w:hint="eastAsia" w:ascii="Times New Roman" w:hAnsi="Times New Roman" w:cs="Times New Roman"/>
          <w:sz w:val="28"/>
          <w:szCs w:val="32"/>
        </w:rPr>
        <w:t>2</w:t>
      </w:r>
      <w:r>
        <w:rPr>
          <w:rFonts w:ascii="Times New Roman" w:hAnsi="Times New Roman" w:cs="Times New Roman"/>
          <w:sz w:val="28"/>
          <w:szCs w:val="32"/>
        </w:rPr>
        <w:t>00家</w:t>
      </w:r>
      <w:r>
        <w:rPr>
          <w:rFonts w:hint="eastAsia" w:ascii="Times New Roman" w:hAnsi="Times New Roman" w:cs="Times New Roman"/>
          <w:sz w:val="28"/>
          <w:szCs w:val="32"/>
        </w:rPr>
        <w:t>，</w:t>
      </w:r>
      <w:r>
        <w:rPr>
          <w:rFonts w:ascii="Times New Roman" w:hAnsi="Times New Roman" w:cs="Times New Roman"/>
          <w:sz w:val="28"/>
          <w:szCs w:val="32"/>
        </w:rPr>
        <w:t>专家</w:t>
      </w:r>
      <w:r>
        <w:rPr>
          <w:rFonts w:hint="eastAsia" w:ascii="Times New Roman" w:hAnsi="Times New Roman" w:cs="Times New Roman"/>
          <w:sz w:val="28"/>
          <w:szCs w:val="32"/>
        </w:rPr>
        <w:t>（院士）工作站累计达6</w:t>
      </w:r>
      <w:r>
        <w:rPr>
          <w:rFonts w:ascii="Times New Roman" w:hAnsi="Times New Roman" w:cs="Times New Roman"/>
          <w:sz w:val="28"/>
          <w:szCs w:val="32"/>
        </w:rPr>
        <w:t>0个</w:t>
      </w:r>
      <w:r>
        <w:rPr>
          <w:rFonts w:hint="eastAsia" w:ascii="Times New Roman" w:hAnsi="Times New Roman" w:cs="Times New Roman"/>
          <w:sz w:val="28"/>
          <w:szCs w:val="32"/>
        </w:rPr>
        <w:t>，</w:t>
      </w:r>
      <w:r>
        <w:rPr>
          <w:rFonts w:ascii="Times New Roman" w:hAnsi="Times New Roman" w:cs="Times New Roman"/>
          <w:sz w:val="28"/>
          <w:szCs w:val="32"/>
        </w:rPr>
        <w:t>引入高层次人才累计达</w:t>
      </w:r>
      <w:r>
        <w:rPr>
          <w:rFonts w:hint="eastAsia" w:ascii="Times New Roman" w:hAnsi="Times New Roman" w:cs="Times New Roman"/>
          <w:sz w:val="28"/>
          <w:szCs w:val="32"/>
        </w:rPr>
        <w:t>8</w:t>
      </w:r>
      <w:r>
        <w:rPr>
          <w:rFonts w:ascii="Times New Roman" w:hAnsi="Times New Roman" w:cs="Times New Roman"/>
          <w:sz w:val="28"/>
          <w:szCs w:val="32"/>
        </w:rPr>
        <w:t>0名</w:t>
      </w:r>
      <w:r>
        <w:rPr>
          <w:rFonts w:hint="eastAsia" w:ascii="Times New Roman" w:hAnsi="Times New Roman" w:cs="Times New Roman"/>
          <w:sz w:val="28"/>
          <w:szCs w:val="32"/>
        </w:rPr>
        <w:t>，</w:t>
      </w:r>
      <w:r>
        <w:rPr>
          <w:rFonts w:ascii="Times New Roman" w:hAnsi="Times New Roman" w:cs="Times New Roman"/>
          <w:sz w:val="28"/>
          <w:szCs w:val="32"/>
        </w:rPr>
        <w:t>全县</w:t>
      </w:r>
      <w:r>
        <w:rPr>
          <w:rFonts w:hint="eastAsia" w:ascii="Times New Roman" w:hAnsi="Times New Roman" w:cs="Times New Roman"/>
          <w:sz w:val="28"/>
          <w:szCs w:val="32"/>
        </w:rPr>
        <w:t>研究与试验发展（</w:t>
      </w:r>
      <w:r>
        <w:rPr>
          <w:rFonts w:ascii="Times New Roman" w:hAnsi="Times New Roman" w:cs="Times New Roman"/>
          <w:sz w:val="28"/>
          <w:szCs w:val="32"/>
        </w:rPr>
        <w:t>R&amp;D）经费支出占GDP比重达到</w:t>
      </w:r>
      <w:r>
        <w:rPr>
          <w:rFonts w:hint="eastAsia" w:ascii="Times New Roman" w:hAnsi="Times New Roman" w:cs="Times New Roman"/>
          <w:sz w:val="28"/>
          <w:szCs w:val="32"/>
        </w:rPr>
        <w:t>3</w:t>
      </w:r>
      <w:r>
        <w:rPr>
          <w:rFonts w:ascii="Times New Roman" w:hAnsi="Times New Roman" w:cs="Times New Roman"/>
          <w:sz w:val="28"/>
          <w:szCs w:val="32"/>
        </w:rPr>
        <w:t>.0</w:t>
      </w:r>
      <w:r>
        <w:rPr>
          <w:rFonts w:hint="eastAsia" w:ascii="Times New Roman" w:hAnsi="Times New Roman" w:cs="Times New Roman"/>
          <w:sz w:val="28"/>
          <w:szCs w:val="32"/>
        </w:rPr>
        <w:t>%，每万人口发明专利拥有量达到8</w:t>
      </w:r>
      <w:r>
        <w:rPr>
          <w:rFonts w:ascii="Times New Roman" w:hAnsi="Times New Roman" w:cs="Times New Roman"/>
          <w:sz w:val="28"/>
          <w:szCs w:val="32"/>
        </w:rPr>
        <w:t>6.3件</w:t>
      </w:r>
      <w:r>
        <w:rPr>
          <w:rFonts w:hint="eastAsia" w:ascii="Times New Roman" w:hAnsi="Times New Roman" w:cs="Times New Roman"/>
          <w:sz w:val="28"/>
          <w:szCs w:val="32"/>
        </w:rPr>
        <w:t>。支柱产业</w:t>
      </w:r>
      <w:r>
        <w:rPr>
          <w:rFonts w:ascii="Times New Roman" w:hAnsi="Times New Roman" w:cs="Times New Roman"/>
          <w:sz w:val="28"/>
          <w:szCs w:val="32"/>
        </w:rPr>
        <w:t>和骨干企业的工艺技术和装备达到国内先进水平，在全县培育一批创客空间和智能工厂。</w:t>
      </w:r>
    </w:p>
    <w:p>
      <w:pPr>
        <w:keepNext/>
        <w:keepLines/>
        <w:spacing w:before="120" w:after="120" w:line="360" w:lineRule="auto"/>
        <w:jc w:val="left"/>
        <w:outlineLvl w:val="2"/>
        <w:rPr>
          <w:rFonts w:ascii="Times New Roman" w:hAnsi="Times New Roman" w:cs="Times New Roman"/>
          <w:b/>
          <w:bCs/>
          <w:sz w:val="30"/>
          <w:szCs w:val="32"/>
        </w:rPr>
      </w:pPr>
      <w:bookmarkStart w:id="25" w:name="_Toc91669972"/>
      <w:bookmarkStart w:id="26" w:name="_Toc49861119"/>
      <w:bookmarkStart w:id="27" w:name="_Toc57676469"/>
      <w:r>
        <w:rPr>
          <w:rFonts w:hint="eastAsia" w:ascii="Times New Roman" w:hAnsi="Times New Roman" w:cs="Times New Roman"/>
          <w:b/>
          <w:bCs/>
          <w:sz w:val="30"/>
          <w:szCs w:val="32"/>
        </w:rPr>
        <w:t>（三）两化融合</w:t>
      </w:r>
      <w:bookmarkEnd w:id="25"/>
      <w:bookmarkEnd w:id="26"/>
      <w:bookmarkEnd w:id="27"/>
    </w:p>
    <w:p>
      <w:pPr>
        <w:ind w:firstLine="560" w:firstLineChars="200"/>
        <w:rPr>
          <w:rFonts w:ascii="Times New Roman" w:hAnsi="Times New Roman" w:cs="Times New Roman"/>
          <w:sz w:val="28"/>
          <w:szCs w:val="32"/>
        </w:rPr>
      </w:pPr>
      <w:r>
        <w:rPr>
          <w:rFonts w:hint="eastAsia" w:ascii="Times New Roman" w:hAnsi="Times New Roman" w:cs="Times New Roman"/>
          <w:sz w:val="28"/>
          <w:szCs w:val="32"/>
        </w:rPr>
        <w:t>将5G、物联网、大数据、云计算、人工智能等技术充分融入到产业链延伸、技术改造升级、设备更新当中，网络化、智能化、服务化、协同化的两化深度融合产业体系基本建成。到2025年，全县两化融合发展水平指数达到</w:t>
      </w:r>
      <w:r>
        <w:rPr>
          <w:rFonts w:ascii="Times New Roman" w:hAnsi="Times New Roman" w:cs="Times New Roman"/>
          <w:sz w:val="28"/>
          <w:szCs w:val="32"/>
        </w:rPr>
        <w:t>85</w:t>
      </w:r>
      <w:r>
        <w:rPr>
          <w:rFonts w:hint="eastAsia" w:ascii="Times New Roman" w:hAnsi="Times New Roman" w:cs="Times New Roman"/>
          <w:sz w:val="28"/>
          <w:szCs w:val="32"/>
        </w:rPr>
        <w:t>，计算机辅助设计、辅助制造工程等数字化设计工具在规模以上相关企业的应用率为8</w:t>
      </w:r>
      <w:r>
        <w:rPr>
          <w:rFonts w:ascii="Times New Roman" w:hAnsi="Times New Roman" w:cs="Times New Roman"/>
          <w:sz w:val="28"/>
          <w:szCs w:val="32"/>
        </w:rPr>
        <w:t>0</w:t>
      </w:r>
      <w:r>
        <w:rPr>
          <w:rFonts w:hint="eastAsia" w:ascii="Times New Roman" w:hAnsi="Times New Roman" w:cs="Times New Roman"/>
          <w:sz w:val="28"/>
          <w:szCs w:val="32"/>
        </w:rPr>
        <w:t>%，工业企业关键工序数控率为6</w:t>
      </w:r>
      <w:r>
        <w:rPr>
          <w:rFonts w:ascii="Times New Roman" w:hAnsi="Times New Roman" w:cs="Times New Roman"/>
          <w:sz w:val="28"/>
          <w:szCs w:val="32"/>
        </w:rPr>
        <w:t>0</w:t>
      </w:r>
      <w:r>
        <w:rPr>
          <w:rFonts w:hint="eastAsia" w:ascii="Times New Roman" w:hAnsi="Times New Roman" w:cs="Times New Roman"/>
          <w:sz w:val="28"/>
          <w:szCs w:val="32"/>
        </w:rPr>
        <w:t>%，固定宽带家庭普及率达到9</w:t>
      </w:r>
      <w:r>
        <w:rPr>
          <w:rFonts w:ascii="Times New Roman" w:hAnsi="Times New Roman" w:cs="Times New Roman"/>
          <w:sz w:val="28"/>
          <w:szCs w:val="32"/>
        </w:rPr>
        <w:t>7</w:t>
      </w:r>
      <w:r>
        <w:rPr>
          <w:rFonts w:hint="eastAsia" w:ascii="Times New Roman" w:hAnsi="Times New Roman" w:cs="Times New Roman"/>
          <w:sz w:val="28"/>
          <w:szCs w:val="32"/>
        </w:rPr>
        <w:t>%，</w:t>
      </w:r>
      <w:r>
        <w:rPr>
          <w:rFonts w:ascii="Times New Roman" w:hAnsi="Times New Roman" w:cs="Times New Roman"/>
          <w:sz w:val="28"/>
          <w:szCs w:val="32"/>
        </w:rPr>
        <w:t>移动</w:t>
      </w:r>
      <w:r>
        <w:rPr>
          <w:rFonts w:hint="eastAsia" w:ascii="Times New Roman" w:hAnsi="Times New Roman" w:cs="Times New Roman"/>
          <w:sz w:val="28"/>
          <w:szCs w:val="32"/>
        </w:rPr>
        <w:t>宽带普及率达到9</w:t>
      </w:r>
      <w:r>
        <w:rPr>
          <w:rFonts w:ascii="Times New Roman" w:hAnsi="Times New Roman" w:cs="Times New Roman"/>
          <w:sz w:val="28"/>
          <w:szCs w:val="32"/>
        </w:rPr>
        <w:t>8</w:t>
      </w:r>
      <w:r>
        <w:rPr>
          <w:rFonts w:hint="eastAsia" w:ascii="Times New Roman" w:hAnsi="Times New Roman" w:cs="Times New Roman"/>
          <w:sz w:val="28"/>
          <w:szCs w:val="32"/>
        </w:rPr>
        <w:t>%。</w:t>
      </w:r>
    </w:p>
    <w:p>
      <w:pPr>
        <w:keepNext/>
        <w:keepLines/>
        <w:spacing w:before="120" w:after="120" w:line="360" w:lineRule="auto"/>
        <w:jc w:val="left"/>
        <w:outlineLvl w:val="2"/>
        <w:rPr>
          <w:rFonts w:ascii="Times New Roman" w:hAnsi="Times New Roman" w:cs="Times New Roman"/>
          <w:b/>
          <w:bCs/>
          <w:sz w:val="30"/>
          <w:szCs w:val="32"/>
        </w:rPr>
      </w:pPr>
      <w:bookmarkStart w:id="28" w:name="_Toc91669973"/>
      <w:r>
        <w:rPr>
          <w:rFonts w:hint="eastAsia" w:ascii="Times New Roman" w:hAnsi="Times New Roman" w:cs="Times New Roman"/>
          <w:b/>
          <w:bCs/>
          <w:sz w:val="30"/>
          <w:szCs w:val="32"/>
        </w:rPr>
        <w:t>（四）绿色发展</w:t>
      </w:r>
      <w:bookmarkEnd w:id="28"/>
    </w:p>
    <w:p>
      <w:pPr>
        <w:ind w:firstLine="560" w:firstLineChars="200"/>
        <w:rPr>
          <w:rFonts w:ascii="Times New Roman" w:hAnsi="Times New Roman" w:cs="Times New Roman"/>
          <w:sz w:val="28"/>
          <w:szCs w:val="32"/>
        </w:rPr>
      </w:pPr>
      <w:r>
        <w:rPr>
          <w:rFonts w:hint="eastAsia" w:ascii="Times New Roman" w:hAnsi="Times New Roman" w:cs="Times New Roman"/>
          <w:sz w:val="28"/>
          <w:szCs w:val="32"/>
        </w:rPr>
        <w:t>“十四五”期间，“生态产业化、产业生态化”深入推进，生态绿色工业体系基本建成。到</w:t>
      </w:r>
      <w:r>
        <w:rPr>
          <w:rFonts w:ascii="Times New Roman" w:hAnsi="Times New Roman" w:cs="Times New Roman"/>
          <w:sz w:val="28"/>
          <w:szCs w:val="32"/>
        </w:rPr>
        <w:t>2025年，万元工业增加值能耗下降</w:t>
      </w:r>
      <w:r>
        <w:rPr>
          <w:rFonts w:hint="eastAsia" w:ascii="Times New Roman" w:hAnsi="Times New Roman" w:cs="Times New Roman"/>
          <w:sz w:val="28"/>
          <w:szCs w:val="32"/>
        </w:rPr>
        <w:t>1</w:t>
      </w:r>
      <w:r>
        <w:rPr>
          <w:rFonts w:ascii="Times New Roman" w:hAnsi="Times New Roman" w:cs="Times New Roman"/>
          <w:sz w:val="28"/>
          <w:szCs w:val="32"/>
        </w:rPr>
        <w:t>5</w:t>
      </w:r>
      <w:r>
        <w:rPr>
          <w:rFonts w:hint="eastAsia" w:ascii="Times New Roman" w:hAnsi="Times New Roman" w:cs="Times New Roman"/>
          <w:sz w:val="28"/>
          <w:szCs w:val="32"/>
        </w:rPr>
        <w:t>%（以最后省市下达的指标为准）</w:t>
      </w:r>
      <w:r>
        <w:rPr>
          <w:rFonts w:ascii="Times New Roman" w:hAnsi="Times New Roman" w:cs="Times New Roman"/>
          <w:sz w:val="28"/>
          <w:szCs w:val="32"/>
        </w:rPr>
        <w:t>。</w:t>
      </w:r>
    </w:p>
    <w:p>
      <w:pPr>
        <w:keepNext/>
        <w:spacing w:line="360" w:lineRule="auto"/>
        <w:jc w:val="center"/>
        <w:rPr>
          <w:rFonts w:ascii="Times New Roman" w:hAnsi="Times New Roman" w:eastAsia="黑体" w:cs="Times New Roman"/>
          <w:sz w:val="20"/>
          <w:szCs w:val="20"/>
        </w:rPr>
      </w:pPr>
      <w:r>
        <w:rPr>
          <w:rFonts w:ascii="Times New Roman" w:hAnsi="Times New Roman" w:eastAsia="黑体" w:cs="Times New Roman"/>
          <w:sz w:val="20"/>
          <w:szCs w:val="20"/>
        </w:rPr>
        <w:t>表</w:t>
      </w:r>
      <w:r>
        <w:rPr>
          <w:rFonts w:ascii="Times New Roman" w:hAnsi="Times New Roman" w:eastAsia="黑体" w:cs="Times New Roman"/>
          <w:sz w:val="20"/>
          <w:szCs w:val="20"/>
        </w:rPr>
        <w:fldChar w:fldCharType="begin"/>
      </w:r>
      <w:r>
        <w:rPr>
          <w:rFonts w:ascii="Times New Roman" w:hAnsi="Times New Roman" w:eastAsia="黑体" w:cs="Times New Roman"/>
          <w:sz w:val="20"/>
          <w:szCs w:val="20"/>
        </w:rPr>
        <w:instrText xml:space="preserve"> SEQ 表格 \* ARABIC </w:instrText>
      </w:r>
      <w:r>
        <w:rPr>
          <w:rFonts w:ascii="Times New Roman" w:hAnsi="Times New Roman" w:eastAsia="黑体" w:cs="Times New Roman"/>
          <w:sz w:val="20"/>
          <w:szCs w:val="20"/>
        </w:rPr>
        <w:fldChar w:fldCharType="separate"/>
      </w:r>
      <w:r>
        <w:rPr>
          <w:rFonts w:ascii="Times New Roman" w:hAnsi="Times New Roman" w:eastAsia="黑体" w:cs="Times New Roman"/>
          <w:sz w:val="20"/>
          <w:szCs w:val="20"/>
        </w:rPr>
        <w:t>2</w:t>
      </w:r>
      <w:r>
        <w:rPr>
          <w:rFonts w:ascii="Times New Roman" w:hAnsi="Times New Roman" w:eastAsia="黑体" w:cs="Times New Roman"/>
          <w:sz w:val="20"/>
          <w:szCs w:val="20"/>
        </w:rPr>
        <w:fldChar w:fldCharType="end"/>
      </w:r>
      <w:r>
        <w:rPr>
          <w:rFonts w:ascii="Times New Roman" w:hAnsi="Times New Roman" w:eastAsia="黑体" w:cs="Times New Roman"/>
          <w:sz w:val="20"/>
          <w:szCs w:val="20"/>
        </w:rPr>
        <w:t>闽侯县</w:t>
      </w:r>
      <w:r>
        <w:rPr>
          <w:rFonts w:hint="eastAsia" w:ascii="Times New Roman" w:hAnsi="Times New Roman" w:eastAsia="黑体" w:cs="Times New Roman"/>
          <w:sz w:val="20"/>
          <w:szCs w:val="20"/>
        </w:rPr>
        <w:t>“十四五”期工业经济发展主要目标</w:t>
      </w:r>
    </w:p>
    <w:tbl>
      <w:tblPr>
        <w:tblStyle w:val="26"/>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3053"/>
        <w:gridCol w:w="677"/>
        <w:gridCol w:w="857"/>
        <w:gridCol w:w="1134"/>
        <w:gridCol w:w="1032"/>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511" w:type="dxa"/>
            <w:vMerge w:val="restart"/>
            <w:shd w:val="clear" w:color="auto" w:fill="DEEAF6" w:themeFill="accent1" w:themeFillTint="33"/>
            <w:noWrap/>
            <w:vAlign w:val="center"/>
          </w:tcPr>
          <w:p>
            <w:pPr>
              <w:jc w:val="center"/>
              <w:rPr>
                <w:rFonts w:ascii="仿宋_GB2312" w:hAnsi="Times New Roman" w:eastAsia="仿宋_GB2312" w:cs="Times New Roman"/>
                <w:b/>
                <w:bCs/>
                <w:szCs w:val="21"/>
              </w:rPr>
            </w:pPr>
            <w:r>
              <w:rPr>
                <w:rFonts w:hint="eastAsia" w:ascii="仿宋_GB2312" w:hAnsi="Times New Roman" w:eastAsia="仿宋_GB2312" w:cs="Times New Roman"/>
                <w:b/>
                <w:bCs/>
                <w:szCs w:val="21"/>
              </w:rPr>
              <w:t>序号</w:t>
            </w:r>
          </w:p>
        </w:tc>
        <w:tc>
          <w:tcPr>
            <w:tcW w:w="3053" w:type="dxa"/>
            <w:vMerge w:val="restart"/>
            <w:shd w:val="clear" w:color="auto" w:fill="DEEAF6" w:themeFill="accent1" w:themeFillTint="33"/>
            <w:noWrap/>
            <w:vAlign w:val="center"/>
          </w:tcPr>
          <w:p>
            <w:pPr>
              <w:jc w:val="center"/>
              <w:rPr>
                <w:rFonts w:ascii="仿宋_GB2312" w:hAnsi="Times New Roman" w:eastAsia="仿宋_GB2312" w:cs="Times New Roman"/>
                <w:b/>
                <w:bCs/>
                <w:szCs w:val="21"/>
              </w:rPr>
            </w:pPr>
            <w:r>
              <w:rPr>
                <w:rFonts w:hint="eastAsia" w:ascii="仿宋_GB2312" w:hAnsi="Times New Roman" w:eastAsia="仿宋_GB2312" w:cs="Times New Roman"/>
                <w:b/>
                <w:bCs/>
                <w:szCs w:val="21"/>
              </w:rPr>
              <w:t>指标名称</w:t>
            </w:r>
          </w:p>
        </w:tc>
        <w:tc>
          <w:tcPr>
            <w:tcW w:w="677" w:type="dxa"/>
            <w:vMerge w:val="restart"/>
            <w:shd w:val="clear" w:color="auto" w:fill="DEEAF6" w:themeFill="accent1" w:themeFillTint="33"/>
            <w:noWrap/>
            <w:vAlign w:val="center"/>
          </w:tcPr>
          <w:p>
            <w:pPr>
              <w:jc w:val="center"/>
              <w:rPr>
                <w:rFonts w:ascii="仿宋_GB2312" w:hAnsi="Times New Roman" w:eastAsia="仿宋_GB2312" w:cs="Times New Roman"/>
                <w:b/>
                <w:bCs/>
                <w:szCs w:val="21"/>
              </w:rPr>
            </w:pPr>
            <w:r>
              <w:rPr>
                <w:rFonts w:hint="eastAsia" w:ascii="仿宋_GB2312" w:hAnsi="Times New Roman" w:eastAsia="仿宋_GB2312" w:cs="Times New Roman"/>
                <w:b/>
                <w:bCs/>
                <w:szCs w:val="21"/>
              </w:rPr>
              <w:t>属性</w:t>
            </w:r>
          </w:p>
        </w:tc>
        <w:tc>
          <w:tcPr>
            <w:tcW w:w="857" w:type="dxa"/>
            <w:vMerge w:val="restart"/>
            <w:shd w:val="clear" w:color="auto" w:fill="DEEAF6" w:themeFill="accent1" w:themeFillTint="33"/>
            <w:noWrap/>
            <w:vAlign w:val="center"/>
          </w:tcPr>
          <w:p>
            <w:pPr>
              <w:jc w:val="center"/>
              <w:rPr>
                <w:rFonts w:ascii="仿宋_GB2312" w:hAnsi="Times New Roman" w:eastAsia="仿宋_GB2312" w:cs="Times New Roman"/>
                <w:b/>
                <w:bCs/>
                <w:szCs w:val="21"/>
              </w:rPr>
            </w:pPr>
            <w:r>
              <w:rPr>
                <w:rFonts w:hint="eastAsia" w:ascii="仿宋_GB2312" w:hAnsi="Times New Roman" w:eastAsia="仿宋_GB2312" w:cs="Times New Roman"/>
                <w:b/>
                <w:bCs/>
                <w:szCs w:val="21"/>
              </w:rPr>
              <w:t>单位</w:t>
            </w:r>
          </w:p>
        </w:tc>
        <w:tc>
          <w:tcPr>
            <w:tcW w:w="1134" w:type="dxa"/>
            <w:vMerge w:val="restart"/>
            <w:shd w:val="clear" w:color="auto" w:fill="DEEAF6" w:themeFill="accent1" w:themeFillTint="33"/>
            <w:vAlign w:val="center"/>
          </w:tcPr>
          <w:p>
            <w:pPr>
              <w:jc w:val="center"/>
              <w:rPr>
                <w:rFonts w:ascii="仿宋_GB2312" w:hAnsi="Times New Roman" w:eastAsia="仿宋_GB2312" w:cs="Times New Roman"/>
                <w:b/>
                <w:bCs/>
                <w:szCs w:val="21"/>
              </w:rPr>
            </w:pPr>
            <w:r>
              <w:rPr>
                <w:rFonts w:hint="eastAsia" w:ascii="仿宋_GB2312" w:hAnsi="Times New Roman" w:eastAsia="仿宋_GB2312" w:cs="Times New Roman"/>
                <w:b/>
                <w:bCs/>
                <w:szCs w:val="21"/>
              </w:rPr>
              <w:t>20</w:t>
            </w:r>
            <w:r>
              <w:rPr>
                <w:rFonts w:ascii="仿宋_GB2312" w:hAnsi="Times New Roman" w:eastAsia="仿宋_GB2312" w:cs="Times New Roman"/>
                <w:b/>
                <w:bCs/>
                <w:szCs w:val="21"/>
              </w:rPr>
              <w:t>20</w:t>
            </w:r>
            <w:r>
              <w:rPr>
                <w:rFonts w:hint="eastAsia" w:ascii="仿宋_GB2312" w:hAnsi="Times New Roman" w:eastAsia="仿宋_GB2312" w:cs="Times New Roman"/>
                <w:b/>
                <w:bCs/>
                <w:szCs w:val="21"/>
              </w:rPr>
              <w:t>年</w:t>
            </w:r>
          </w:p>
          <w:p>
            <w:pPr>
              <w:jc w:val="center"/>
              <w:rPr>
                <w:rFonts w:ascii="仿宋_GB2312" w:hAnsi="Times New Roman" w:eastAsia="仿宋_GB2312" w:cs="Times New Roman"/>
                <w:b/>
                <w:bCs/>
                <w:szCs w:val="21"/>
              </w:rPr>
            </w:pPr>
            <w:r>
              <w:rPr>
                <w:rFonts w:hint="eastAsia" w:ascii="仿宋_GB2312" w:hAnsi="Times New Roman" w:eastAsia="仿宋_GB2312" w:cs="Times New Roman"/>
                <w:b/>
                <w:bCs/>
                <w:szCs w:val="21"/>
              </w:rPr>
              <w:t>完成</w:t>
            </w:r>
          </w:p>
        </w:tc>
        <w:tc>
          <w:tcPr>
            <w:tcW w:w="2127" w:type="dxa"/>
            <w:gridSpan w:val="2"/>
            <w:shd w:val="clear" w:color="auto" w:fill="DEEAF6" w:themeFill="accent1" w:themeFillTint="33"/>
            <w:noWrap/>
            <w:vAlign w:val="center"/>
          </w:tcPr>
          <w:p>
            <w:pPr>
              <w:jc w:val="center"/>
              <w:rPr>
                <w:rFonts w:ascii="仿宋_GB2312" w:hAnsi="Times New Roman" w:eastAsia="仿宋_GB2312" w:cs="Times New Roman"/>
                <w:b/>
                <w:bCs/>
                <w:szCs w:val="21"/>
              </w:rPr>
            </w:pPr>
            <w:r>
              <w:rPr>
                <w:rFonts w:hint="eastAsia" w:ascii="仿宋_GB2312" w:hAnsi="Times New Roman" w:eastAsia="仿宋_GB2312" w:cs="Times New Roman"/>
                <w:b/>
                <w:bCs/>
                <w:szCs w:val="21"/>
              </w:rPr>
              <w:t>十四五目标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511" w:type="dxa"/>
            <w:vMerge w:val="continue"/>
            <w:shd w:val="clear" w:color="auto" w:fill="DEEAF6" w:themeFill="accent1" w:themeFillTint="33"/>
            <w:vAlign w:val="center"/>
          </w:tcPr>
          <w:p>
            <w:pPr>
              <w:ind w:firstLine="422" w:firstLineChars="200"/>
              <w:jc w:val="center"/>
              <w:rPr>
                <w:rFonts w:ascii="仿宋_GB2312" w:hAnsi="Times New Roman" w:eastAsia="仿宋_GB2312" w:cs="Times New Roman"/>
                <w:b/>
                <w:bCs/>
                <w:szCs w:val="21"/>
              </w:rPr>
            </w:pPr>
          </w:p>
        </w:tc>
        <w:tc>
          <w:tcPr>
            <w:tcW w:w="3053" w:type="dxa"/>
            <w:vMerge w:val="continue"/>
            <w:shd w:val="clear" w:color="auto" w:fill="DEEAF6" w:themeFill="accent1" w:themeFillTint="33"/>
            <w:vAlign w:val="center"/>
          </w:tcPr>
          <w:p>
            <w:pPr>
              <w:ind w:firstLine="422" w:firstLineChars="200"/>
              <w:rPr>
                <w:rFonts w:ascii="仿宋_GB2312" w:hAnsi="Times New Roman" w:eastAsia="仿宋_GB2312" w:cs="Times New Roman"/>
                <w:b/>
                <w:bCs/>
                <w:szCs w:val="21"/>
              </w:rPr>
            </w:pPr>
          </w:p>
        </w:tc>
        <w:tc>
          <w:tcPr>
            <w:tcW w:w="677" w:type="dxa"/>
            <w:vMerge w:val="continue"/>
            <w:shd w:val="clear" w:color="auto" w:fill="DEEAF6" w:themeFill="accent1" w:themeFillTint="33"/>
            <w:vAlign w:val="center"/>
          </w:tcPr>
          <w:p>
            <w:pPr>
              <w:ind w:firstLine="422" w:firstLineChars="200"/>
              <w:jc w:val="center"/>
              <w:rPr>
                <w:rFonts w:ascii="仿宋_GB2312" w:hAnsi="Times New Roman" w:eastAsia="仿宋_GB2312" w:cs="Times New Roman"/>
                <w:b/>
                <w:bCs/>
                <w:szCs w:val="21"/>
              </w:rPr>
            </w:pPr>
          </w:p>
        </w:tc>
        <w:tc>
          <w:tcPr>
            <w:tcW w:w="857" w:type="dxa"/>
            <w:vMerge w:val="continue"/>
            <w:shd w:val="clear" w:color="auto" w:fill="DEEAF6" w:themeFill="accent1" w:themeFillTint="33"/>
            <w:vAlign w:val="center"/>
          </w:tcPr>
          <w:p>
            <w:pPr>
              <w:ind w:firstLine="422" w:firstLineChars="200"/>
              <w:jc w:val="center"/>
              <w:rPr>
                <w:rFonts w:ascii="仿宋_GB2312" w:hAnsi="Times New Roman" w:eastAsia="仿宋_GB2312" w:cs="Times New Roman"/>
                <w:b/>
                <w:bCs/>
                <w:szCs w:val="21"/>
              </w:rPr>
            </w:pPr>
          </w:p>
        </w:tc>
        <w:tc>
          <w:tcPr>
            <w:tcW w:w="1134" w:type="dxa"/>
            <w:vMerge w:val="continue"/>
            <w:shd w:val="clear" w:color="auto" w:fill="DEEAF6" w:themeFill="accent1" w:themeFillTint="33"/>
            <w:vAlign w:val="center"/>
          </w:tcPr>
          <w:p>
            <w:pPr>
              <w:ind w:firstLine="422" w:firstLineChars="200"/>
              <w:jc w:val="center"/>
              <w:rPr>
                <w:rFonts w:ascii="仿宋_GB2312" w:hAnsi="Times New Roman" w:eastAsia="仿宋_GB2312" w:cs="Times New Roman"/>
                <w:b/>
                <w:bCs/>
                <w:szCs w:val="21"/>
              </w:rPr>
            </w:pPr>
          </w:p>
        </w:tc>
        <w:tc>
          <w:tcPr>
            <w:tcW w:w="1032" w:type="dxa"/>
            <w:shd w:val="clear" w:color="auto" w:fill="DEEAF6" w:themeFill="accent1" w:themeFillTint="33"/>
            <w:noWrap/>
            <w:vAlign w:val="center"/>
          </w:tcPr>
          <w:p>
            <w:pPr>
              <w:jc w:val="center"/>
              <w:rPr>
                <w:rFonts w:ascii="仿宋_GB2312" w:hAnsi="Times New Roman" w:eastAsia="仿宋_GB2312" w:cs="Times New Roman"/>
                <w:b/>
                <w:bCs/>
                <w:szCs w:val="21"/>
              </w:rPr>
            </w:pPr>
            <w:r>
              <w:rPr>
                <w:rFonts w:hint="eastAsia" w:ascii="仿宋_GB2312" w:hAnsi="Times New Roman" w:eastAsia="仿宋_GB2312" w:cs="Times New Roman"/>
                <w:b/>
                <w:bCs/>
                <w:szCs w:val="21"/>
              </w:rPr>
              <w:t>2025年完成</w:t>
            </w:r>
          </w:p>
        </w:tc>
        <w:tc>
          <w:tcPr>
            <w:tcW w:w="1095" w:type="dxa"/>
            <w:shd w:val="clear" w:color="auto" w:fill="DEEAF6" w:themeFill="accent1" w:themeFillTint="33"/>
            <w:noWrap/>
            <w:vAlign w:val="center"/>
          </w:tcPr>
          <w:p>
            <w:pPr>
              <w:jc w:val="center"/>
              <w:rPr>
                <w:rFonts w:ascii="仿宋_GB2312" w:hAnsi="Times New Roman" w:eastAsia="仿宋_GB2312" w:cs="Times New Roman"/>
                <w:b/>
                <w:bCs/>
                <w:szCs w:val="21"/>
              </w:rPr>
            </w:pPr>
            <w:r>
              <w:rPr>
                <w:rFonts w:hint="eastAsia" w:ascii="仿宋_GB2312" w:hAnsi="Times New Roman" w:eastAsia="仿宋_GB2312" w:cs="Times New Roman"/>
                <w:b/>
                <w:bCs/>
                <w:szCs w:val="21"/>
              </w:rPr>
              <w:t>年均增长/</w:t>
            </w:r>
            <w:r>
              <w:rPr>
                <w:rFonts w:ascii="仿宋_GB2312" w:hAnsi="Times New Roman" w:eastAsia="仿宋_GB2312" w:cs="Times New Roman"/>
                <w:b/>
                <w:bCs/>
                <w:szCs w:val="21"/>
              </w:rPr>
              <w:t>[累计]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8359" w:type="dxa"/>
            <w:gridSpan w:val="7"/>
            <w:noWrap/>
            <w:vAlign w:val="center"/>
          </w:tcPr>
          <w:p>
            <w:pPr>
              <w:rPr>
                <w:rFonts w:ascii="仿宋_GB2312" w:hAnsi="Times New Roman" w:eastAsia="仿宋_GB2312" w:cs="Times New Roman"/>
                <w:b/>
                <w:bCs/>
                <w:szCs w:val="21"/>
              </w:rPr>
            </w:pPr>
            <w:r>
              <w:rPr>
                <w:rFonts w:hint="eastAsia" w:ascii="仿宋_GB2312" w:hAnsi="Times New Roman" w:eastAsia="仿宋_GB2312" w:cs="Times New Roman"/>
                <w:b/>
                <w:bCs/>
                <w:szCs w:val="21"/>
              </w:rPr>
              <w:t>一、规模壮大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11"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1</w:t>
            </w:r>
          </w:p>
        </w:tc>
        <w:tc>
          <w:tcPr>
            <w:tcW w:w="3053" w:type="dxa"/>
            <w:noWrap/>
            <w:vAlign w:val="center"/>
          </w:tcPr>
          <w:p>
            <w:pPr>
              <w:rPr>
                <w:rFonts w:ascii="仿宋_GB2312" w:hAnsi="Times New Roman" w:eastAsia="仿宋_GB2312" w:cs="Times New Roman"/>
                <w:bCs/>
                <w:szCs w:val="21"/>
              </w:rPr>
            </w:pPr>
            <w:r>
              <w:rPr>
                <w:rFonts w:hint="eastAsia" w:ascii="仿宋_GB2312" w:hAnsi="Times New Roman" w:eastAsia="仿宋_GB2312" w:cs="Times New Roman"/>
                <w:bCs/>
                <w:szCs w:val="21"/>
              </w:rPr>
              <w:t>工业增加值</w:t>
            </w:r>
          </w:p>
        </w:tc>
        <w:tc>
          <w:tcPr>
            <w:tcW w:w="677"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预期性</w:t>
            </w:r>
          </w:p>
        </w:tc>
        <w:tc>
          <w:tcPr>
            <w:tcW w:w="857"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亿元</w:t>
            </w:r>
          </w:p>
        </w:tc>
        <w:tc>
          <w:tcPr>
            <w:tcW w:w="1134"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41</w:t>
            </w:r>
            <w:r>
              <w:rPr>
                <w:rFonts w:ascii="仿宋_GB2312" w:hAnsi="Times New Roman" w:eastAsia="仿宋_GB2312" w:cs="Times New Roman"/>
                <w:bCs/>
                <w:szCs w:val="21"/>
              </w:rPr>
              <w:t>3.4</w:t>
            </w:r>
          </w:p>
        </w:tc>
        <w:tc>
          <w:tcPr>
            <w:tcW w:w="1032"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6</w:t>
            </w:r>
            <w:r>
              <w:rPr>
                <w:rFonts w:ascii="仿宋_GB2312" w:hAnsi="Times New Roman" w:eastAsia="仿宋_GB2312" w:cs="Times New Roman"/>
                <w:bCs/>
                <w:szCs w:val="21"/>
              </w:rPr>
              <w:t>80.0</w:t>
            </w:r>
          </w:p>
        </w:tc>
        <w:tc>
          <w:tcPr>
            <w:tcW w:w="1095"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1</w:t>
            </w:r>
            <w:r>
              <w:rPr>
                <w:rFonts w:ascii="仿宋_GB2312" w:hAnsi="Times New Roman" w:eastAsia="仿宋_GB2312" w:cs="Times New Roman"/>
                <w:bCs/>
                <w:szCs w:val="21"/>
              </w:rPr>
              <w:t>0.5</w:t>
            </w:r>
            <w:r>
              <w:rPr>
                <w:rFonts w:hint="eastAsia" w:ascii="仿宋_GB2312" w:hAnsi="Times New Roman" w:eastAsia="仿宋_GB2312" w:cs="Times New Roman"/>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11" w:type="dxa"/>
            <w:noWrap/>
            <w:vAlign w:val="center"/>
          </w:tcPr>
          <w:p>
            <w:pPr>
              <w:jc w:val="center"/>
              <w:rPr>
                <w:rFonts w:ascii="仿宋_GB2312" w:hAnsi="Times New Roman" w:eastAsia="仿宋_GB2312" w:cs="Times New Roman"/>
                <w:bCs/>
                <w:szCs w:val="21"/>
              </w:rPr>
            </w:pPr>
            <w:r>
              <w:rPr>
                <w:rFonts w:ascii="仿宋_GB2312" w:hAnsi="Times New Roman" w:eastAsia="仿宋_GB2312" w:cs="Times New Roman"/>
                <w:bCs/>
                <w:szCs w:val="21"/>
              </w:rPr>
              <w:t>2</w:t>
            </w:r>
          </w:p>
        </w:tc>
        <w:tc>
          <w:tcPr>
            <w:tcW w:w="3053" w:type="dxa"/>
            <w:noWrap/>
            <w:vAlign w:val="center"/>
          </w:tcPr>
          <w:p>
            <w:pPr>
              <w:rPr>
                <w:rFonts w:ascii="仿宋_GB2312" w:hAnsi="Times New Roman" w:eastAsia="仿宋_GB2312" w:cs="Times New Roman"/>
                <w:bCs/>
                <w:szCs w:val="21"/>
              </w:rPr>
            </w:pPr>
            <w:r>
              <w:rPr>
                <w:rFonts w:hint="eastAsia" w:ascii="仿宋_GB2312" w:hAnsi="Times New Roman" w:eastAsia="仿宋_GB2312" w:cs="Times New Roman"/>
                <w:bCs/>
                <w:szCs w:val="21"/>
              </w:rPr>
              <w:t>规模以上工业企业</w:t>
            </w:r>
          </w:p>
        </w:tc>
        <w:tc>
          <w:tcPr>
            <w:tcW w:w="677"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预期性</w:t>
            </w:r>
          </w:p>
        </w:tc>
        <w:tc>
          <w:tcPr>
            <w:tcW w:w="857"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户</w:t>
            </w:r>
          </w:p>
        </w:tc>
        <w:tc>
          <w:tcPr>
            <w:tcW w:w="1134"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4</w:t>
            </w:r>
            <w:r>
              <w:rPr>
                <w:rFonts w:ascii="仿宋_GB2312" w:hAnsi="Times New Roman" w:eastAsia="仿宋_GB2312" w:cs="Times New Roman"/>
                <w:bCs/>
                <w:szCs w:val="21"/>
              </w:rPr>
              <w:t>78</w:t>
            </w:r>
          </w:p>
        </w:tc>
        <w:tc>
          <w:tcPr>
            <w:tcW w:w="1032"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8</w:t>
            </w:r>
            <w:r>
              <w:rPr>
                <w:rFonts w:ascii="仿宋_GB2312" w:hAnsi="Times New Roman" w:eastAsia="仿宋_GB2312" w:cs="Times New Roman"/>
                <w:bCs/>
                <w:szCs w:val="21"/>
              </w:rPr>
              <w:t>00</w:t>
            </w:r>
          </w:p>
        </w:tc>
        <w:tc>
          <w:tcPr>
            <w:tcW w:w="1095"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1</w:t>
            </w:r>
            <w:r>
              <w:rPr>
                <w:rFonts w:ascii="仿宋_GB2312" w:hAnsi="Times New Roman" w:eastAsia="仿宋_GB2312" w:cs="Times New Roman"/>
                <w:bCs/>
                <w:szCs w:val="21"/>
              </w:rPr>
              <w:t>0.8</w:t>
            </w:r>
            <w:r>
              <w:rPr>
                <w:rFonts w:hint="eastAsia" w:ascii="仿宋_GB2312" w:hAnsi="Times New Roman" w:eastAsia="仿宋_GB2312" w:cs="Times New Roman"/>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11" w:type="dxa"/>
            <w:noWrap/>
            <w:vAlign w:val="center"/>
          </w:tcPr>
          <w:p>
            <w:pPr>
              <w:jc w:val="center"/>
              <w:rPr>
                <w:rFonts w:ascii="仿宋_GB2312" w:hAnsi="Times New Roman" w:eastAsia="仿宋_GB2312" w:cs="Times New Roman"/>
                <w:bCs/>
                <w:szCs w:val="21"/>
              </w:rPr>
            </w:pPr>
            <w:r>
              <w:rPr>
                <w:rFonts w:ascii="仿宋_GB2312" w:hAnsi="Times New Roman" w:eastAsia="仿宋_GB2312" w:cs="Times New Roman"/>
                <w:bCs/>
                <w:szCs w:val="21"/>
              </w:rPr>
              <w:t>3</w:t>
            </w:r>
          </w:p>
        </w:tc>
        <w:tc>
          <w:tcPr>
            <w:tcW w:w="3053" w:type="dxa"/>
            <w:noWrap/>
            <w:vAlign w:val="center"/>
          </w:tcPr>
          <w:p>
            <w:pPr>
              <w:rPr>
                <w:rFonts w:ascii="仿宋_GB2312" w:hAnsi="Times New Roman" w:eastAsia="仿宋_GB2312" w:cs="Times New Roman"/>
                <w:bCs/>
                <w:szCs w:val="21"/>
              </w:rPr>
            </w:pPr>
            <w:r>
              <w:rPr>
                <w:rFonts w:hint="eastAsia" w:ascii="仿宋_GB2312" w:hAnsi="Times New Roman" w:eastAsia="仿宋_GB2312" w:cs="Times New Roman"/>
                <w:bCs/>
                <w:szCs w:val="21"/>
              </w:rPr>
              <w:t>规模以上工业企业增加值</w:t>
            </w:r>
          </w:p>
        </w:tc>
        <w:tc>
          <w:tcPr>
            <w:tcW w:w="677"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预期性</w:t>
            </w:r>
          </w:p>
        </w:tc>
        <w:tc>
          <w:tcPr>
            <w:tcW w:w="857"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亿元</w:t>
            </w:r>
          </w:p>
        </w:tc>
        <w:tc>
          <w:tcPr>
            <w:tcW w:w="1134"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3</w:t>
            </w:r>
            <w:r>
              <w:rPr>
                <w:rFonts w:ascii="仿宋_GB2312" w:hAnsi="Times New Roman" w:eastAsia="仿宋_GB2312" w:cs="Times New Roman"/>
                <w:bCs/>
                <w:szCs w:val="21"/>
              </w:rPr>
              <w:t>27.3</w:t>
            </w:r>
          </w:p>
        </w:tc>
        <w:tc>
          <w:tcPr>
            <w:tcW w:w="1032" w:type="dxa"/>
            <w:noWrap/>
            <w:vAlign w:val="center"/>
          </w:tcPr>
          <w:p>
            <w:pPr>
              <w:jc w:val="center"/>
              <w:rPr>
                <w:rFonts w:ascii="仿宋_GB2312" w:hAnsi="Times New Roman" w:eastAsia="仿宋_GB2312" w:cs="Times New Roman"/>
                <w:bCs/>
                <w:szCs w:val="21"/>
              </w:rPr>
            </w:pPr>
            <w:r>
              <w:rPr>
                <w:rFonts w:ascii="仿宋_GB2312" w:hAnsi="Times New Roman" w:eastAsia="仿宋_GB2312" w:cs="Times New Roman"/>
                <w:bCs/>
                <w:szCs w:val="21"/>
              </w:rPr>
              <w:t>560.0</w:t>
            </w:r>
          </w:p>
        </w:tc>
        <w:tc>
          <w:tcPr>
            <w:tcW w:w="1095" w:type="dxa"/>
            <w:noWrap/>
            <w:vAlign w:val="center"/>
          </w:tcPr>
          <w:p>
            <w:pPr>
              <w:spacing w:line="360" w:lineRule="auto"/>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1</w:t>
            </w:r>
            <w:r>
              <w:rPr>
                <w:rFonts w:ascii="仿宋_GB2312" w:hAnsi="Times New Roman" w:eastAsia="仿宋_GB2312" w:cs="Times New Roman"/>
                <w:bCs/>
                <w:szCs w:val="21"/>
              </w:rPr>
              <w:t>1.3</w:t>
            </w:r>
            <w:r>
              <w:rPr>
                <w:rFonts w:hint="eastAsia" w:ascii="仿宋_GB2312" w:hAnsi="Times New Roman" w:eastAsia="仿宋_GB2312" w:cs="Times New Roman"/>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11" w:type="dxa"/>
            <w:noWrap/>
            <w:vAlign w:val="center"/>
          </w:tcPr>
          <w:p>
            <w:pPr>
              <w:jc w:val="center"/>
              <w:rPr>
                <w:rFonts w:ascii="仿宋_GB2312" w:hAnsi="Times New Roman" w:eastAsia="仿宋_GB2312" w:cs="Times New Roman"/>
                <w:bCs/>
                <w:szCs w:val="21"/>
              </w:rPr>
            </w:pPr>
            <w:r>
              <w:rPr>
                <w:rFonts w:ascii="仿宋_GB2312" w:hAnsi="Times New Roman" w:eastAsia="仿宋_GB2312" w:cs="Times New Roman"/>
                <w:bCs/>
                <w:szCs w:val="21"/>
              </w:rPr>
              <w:t>4</w:t>
            </w:r>
          </w:p>
        </w:tc>
        <w:tc>
          <w:tcPr>
            <w:tcW w:w="3053" w:type="dxa"/>
            <w:noWrap/>
            <w:vAlign w:val="center"/>
          </w:tcPr>
          <w:p>
            <w:pPr>
              <w:rPr>
                <w:rFonts w:ascii="仿宋_GB2312" w:hAnsi="Times New Roman" w:eastAsia="仿宋_GB2312" w:cs="Times New Roman"/>
                <w:bCs/>
                <w:szCs w:val="21"/>
              </w:rPr>
            </w:pPr>
            <w:r>
              <w:rPr>
                <w:rFonts w:hint="eastAsia" w:ascii="仿宋_GB2312" w:hAnsi="Times New Roman" w:eastAsia="仿宋_GB2312" w:cs="Times New Roman"/>
                <w:bCs/>
                <w:szCs w:val="21"/>
              </w:rPr>
              <w:t>产值超100亿元的企业</w:t>
            </w:r>
          </w:p>
        </w:tc>
        <w:tc>
          <w:tcPr>
            <w:tcW w:w="677"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预期性</w:t>
            </w:r>
          </w:p>
        </w:tc>
        <w:tc>
          <w:tcPr>
            <w:tcW w:w="857"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户</w:t>
            </w:r>
          </w:p>
        </w:tc>
        <w:tc>
          <w:tcPr>
            <w:tcW w:w="1134"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1</w:t>
            </w:r>
          </w:p>
        </w:tc>
        <w:tc>
          <w:tcPr>
            <w:tcW w:w="1032"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3</w:t>
            </w:r>
          </w:p>
        </w:tc>
        <w:tc>
          <w:tcPr>
            <w:tcW w:w="1095"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11" w:type="dxa"/>
            <w:noWrap/>
            <w:vAlign w:val="center"/>
          </w:tcPr>
          <w:p>
            <w:pPr>
              <w:jc w:val="center"/>
              <w:rPr>
                <w:rFonts w:ascii="仿宋_GB2312" w:hAnsi="Times New Roman" w:eastAsia="仿宋_GB2312" w:cs="Times New Roman"/>
                <w:bCs/>
                <w:szCs w:val="21"/>
              </w:rPr>
            </w:pPr>
            <w:r>
              <w:rPr>
                <w:rFonts w:ascii="仿宋_GB2312" w:hAnsi="Times New Roman" w:eastAsia="仿宋_GB2312" w:cs="Times New Roman"/>
                <w:bCs/>
                <w:szCs w:val="21"/>
              </w:rPr>
              <w:t>5</w:t>
            </w:r>
          </w:p>
        </w:tc>
        <w:tc>
          <w:tcPr>
            <w:tcW w:w="3053" w:type="dxa"/>
            <w:noWrap/>
            <w:vAlign w:val="center"/>
          </w:tcPr>
          <w:p>
            <w:pPr>
              <w:rPr>
                <w:rFonts w:ascii="仿宋_GB2312" w:hAnsi="Times New Roman" w:eastAsia="仿宋_GB2312" w:cs="Times New Roman"/>
                <w:bCs/>
                <w:szCs w:val="21"/>
              </w:rPr>
            </w:pPr>
            <w:r>
              <w:rPr>
                <w:rFonts w:hint="eastAsia" w:ascii="仿宋_GB2312" w:hAnsi="Times New Roman" w:eastAsia="仿宋_GB2312" w:cs="Times New Roman"/>
                <w:bCs/>
                <w:szCs w:val="21"/>
              </w:rPr>
              <w:t>产值50-100亿元的企业</w:t>
            </w:r>
          </w:p>
        </w:tc>
        <w:tc>
          <w:tcPr>
            <w:tcW w:w="677"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预期性</w:t>
            </w:r>
          </w:p>
        </w:tc>
        <w:tc>
          <w:tcPr>
            <w:tcW w:w="857"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户</w:t>
            </w:r>
          </w:p>
        </w:tc>
        <w:tc>
          <w:tcPr>
            <w:tcW w:w="1134"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0</w:t>
            </w:r>
          </w:p>
        </w:tc>
        <w:tc>
          <w:tcPr>
            <w:tcW w:w="1032" w:type="dxa"/>
            <w:noWrap/>
            <w:vAlign w:val="center"/>
          </w:tcPr>
          <w:p>
            <w:pPr>
              <w:jc w:val="center"/>
              <w:rPr>
                <w:rFonts w:ascii="仿宋_GB2312" w:hAnsi="Times New Roman" w:eastAsia="仿宋_GB2312" w:cs="Times New Roman"/>
                <w:bCs/>
                <w:szCs w:val="21"/>
              </w:rPr>
            </w:pPr>
            <w:r>
              <w:rPr>
                <w:rFonts w:ascii="仿宋_GB2312" w:hAnsi="Times New Roman" w:eastAsia="仿宋_GB2312" w:cs="Times New Roman"/>
                <w:bCs/>
                <w:szCs w:val="21"/>
              </w:rPr>
              <w:t>3</w:t>
            </w:r>
          </w:p>
        </w:tc>
        <w:tc>
          <w:tcPr>
            <w:tcW w:w="1095"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11" w:type="dxa"/>
            <w:noWrap/>
            <w:vAlign w:val="center"/>
          </w:tcPr>
          <w:p>
            <w:pPr>
              <w:jc w:val="center"/>
              <w:rPr>
                <w:rFonts w:ascii="仿宋_GB2312" w:hAnsi="Times New Roman" w:eastAsia="仿宋_GB2312" w:cs="Times New Roman"/>
                <w:bCs/>
                <w:szCs w:val="21"/>
              </w:rPr>
            </w:pPr>
            <w:r>
              <w:rPr>
                <w:rFonts w:ascii="仿宋_GB2312" w:hAnsi="Times New Roman" w:eastAsia="仿宋_GB2312" w:cs="Times New Roman"/>
                <w:bCs/>
                <w:szCs w:val="21"/>
              </w:rPr>
              <w:t>6</w:t>
            </w:r>
          </w:p>
        </w:tc>
        <w:tc>
          <w:tcPr>
            <w:tcW w:w="3053" w:type="dxa"/>
            <w:noWrap/>
            <w:vAlign w:val="center"/>
          </w:tcPr>
          <w:p>
            <w:pPr>
              <w:rPr>
                <w:rFonts w:ascii="仿宋_GB2312" w:hAnsi="Times New Roman" w:eastAsia="仿宋_GB2312" w:cs="Times New Roman"/>
                <w:bCs/>
                <w:szCs w:val="21"/>
              </w:rPr>
            </w:pPr>
            <w:r>
              <w:rPr>
                <w:rFonts w:hint="eastAsia" w:ascii="仿宋_GB2312" w:hAnsi="Times New Roman" w:eastAsia="仿宋_GB2312" w:cs="Times New Roman"/>
                <w:bCs/>
                <w:szCs w:val="21"/>
              </w:rPr>
              <w:t>产值10-50亿元的企业</w:t>
            </w:r>
          </w:p>
        </w:tc>
        <w:tc>
          <w:tcPr>
            <w:tcW w:w="677"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预期性</w:t>
            </w:r>
          </w:p>
        </w:tc>
        <w:tc>
          <w:tcPr>
            <w:tcW w:w="857"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户</w:t>
            </w:r>
          </w:p>
        </w:tc>
        <w:tc>
          <w:tcPr>
            <w:tcW w:w="1134"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1</w:t>
            </w:r>
            <w:r>
              <w:rPr>
                <w:rFonts w:ascii="仿宋_GB2312" w:hAnsi="Times New Roman" w:eastAsia="仿宋_GB2312" w:cs="Times New Roman"/>
                <w:bCs/>
                <w:szCs w:val="21"/>
              </w:rPr>
              <w:t>3</w:t>
            </w:r>
          </w:p>
        </w:tc>
        <w:tc>
          <w:tcPr>
            <w:tcW w:w="1032" w:type="dxa"/>
            <w:noWrap/>
            <w:vAlign w:val="center"/>
          </w:tcPr>
          <w:p>
            <w:pPr>
              <w:jc w:val="center"/>
              <w:rPr>
                <w:rFonts w:ascii="仿宋_GB2312" w:hAnsi="Times New Roman" w:eastAsia="仿宋_GB2312" w:cs="Times New Roman"/>
                <w:bCs/>
                <w:szCs w:val="21"/>
              </w:rPr>
            </w:pPr>
            <w:r>
              <w:rPr>
                <w:rFonts w:ascii="仿宋_GB2312" w:hAnsi="Times New Roman" w:eastAsia="仿宋_GB2312" w:cs="Times New Roman"/>
                <w:bCs/>
                <w:szCs w:val="21"/>
              </w:rPr>
              <w:t>20</w:t>
            </w:r>
          </w:p>
        </w:tc>
        <w:tc>
          <w:tcPr>
            <w:tcW w:w="1095"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11" w:type="dxa"/>
            <w:noWrap/>
            <w:vAlign w:val="center"/>
          </w:tcPr>
          <w:p>
            <w:pPr>
              <w:jc w:val="center"/>
              <w:rPr>
                <w:rFonts w:ascii="仿宋_GB2312" w:hAnsi="Times New Roman" w:eastAsia="仿宋_GB2312" w:cs="Times New Roman"/>
                <w:bCs/>
                <w:szCs w:val="21"/>
              </w:rPr>
            </w:pPr>
            <w:r>
              <w:rPr>
                <w:rFonts w:ascii="仿宋_GB2312" w:hAnsi="Times New Roman" w:eastAsia="仿宋_GB2312" w:cs="Times New Roman"/>
                <w:bCs/>
                <w:szCs w:val="21"/>
              </w:rPr>
              <w:t>7</w:t>
            </w:r>
          </w:p>
        </w:tc>
        <w:tc>
          <w:tcPr>
            <w:tcW w:w="3053" w:type="dxa"/>
            <w:noWrap/>
            <w:vAlign w:val="center"/>
          </w:tcPr>
          <w:p>
            <w:pPr>
              <w:rPr>
                <w:rFonts w:ascii="仿宋_GB2312" w:hAnsi="Times New Roman" w:eastAsia="仿宋_GB2312" w:cs="Times New Roman"/>
                <w:bCs/>
                <w:szCs w:val="21"/>
              </w:rPr>
            </w:pPr>
            <w:r>
              <w:rPr>
                <w:rFonts w:hint="eastAsia" w:ascii="仿宋_GB2312" w:hAnsi="Times New Roman" w:eastAsia="仿宋_GB2312" w:cs="Times New Roman"/>
                <w:bCs/>
                <w:szCs w:val="21"/>
              </w:rPr>
              <w:t>规上工业战略性新兴产业增加值占规上工业增加值的比重</w:t>
            </w:r>
          </w:p>
        </w:tc>
        <w:tc>
          <w:tcPr>
            <w:tcW w:w="677"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预期性</w:t>
            </w:r>
          </w:p>
        </w:tc>
        <w:tc>
          <w:tcPr>
            <w:tcW w:w="857"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w:t>
            </w:r>
          </w:p>
        </w:tc>
        <w:tc>
          <w:tcPr>
            <w:tcW w:w="1134"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30.6</w:t>
            </w:r>
          </w:p>
        </w:tc>
        <w:tc>
          <w:tcPr>
            <w:tcW w:w="1032"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50</w:t>
            </w:r>
          </w:p>
        </w:tc>
        <w:tc>
          <w:tcPr>
            <w:tcW w:w="1095" w:type="dxa"/>
            <w:noWrap/>
            <w:vAlign w:val="center"/>
          </w:tcPr>
          <w:p>
            <w:pPr>
              <w:jc w:val="center"/>
              <w:rPr>
                <w:rFonts w:ascii="仿宋_GB2312" w:hAnsi="Times New Roman" w:eastAsia="仿宋_GB2312" w:cs="Times New Roman"/>
                <w:bCs/>
                <w:szCs w:val="21"/>
              </w:rPr>
            </w:pPr>
            <w:r>
              <w:rPr>
                <w:rFonts w:ascii="仿宋_GB2312" w:hAnsi="Times New Roman" w:eastAsia="仿宋_GB2312" w:cs="Times New Roman"/>
                <w:bCs/>
                <w:szCs w:val="21"/>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59" w:type="dxa"/>
            <w:gridSpan w:val="7"/>
            <w:noWrap/>
            <w:vAlign w:val="center"/>
          </w:tcPr>
          <w:p>
            <w:pPr>
              <w:rPr>
                <w:rFonts w:ascii="仿宋_GB2312" w:hAnsi="Times New Roman" w:eastAsia="仿宋_GB2312" w:cs="Times New Roman"/>
                <w:b/>
                <w:bCs/>
                <w:szCs w:val="21"/>
              </w:rPr>
            </w:pPr>
            <w:r>
              <w:rPr>
                <w:rFonts w:hint="eastAsia" w:ascii="仿宋_GB2312" w:hAnsi="Times New Roman" w:eastAsia="仿宋_GB2312" w:cs="Times New Roman"/>
                <w:b/>
                <w:bCs/>
                <w:szCs w:val="21"/>
              </w:rPr>
              <w:t>二、创新驱动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11"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1</w:t>
            </w:r>
          </w:p>
        </w:tc>
        <w:tc>
          <w:tcPr>
            <w:tcW w:w="3053" w:type="dxa"/>
            <w:noWrap/>
            <w:vAlign w:val="center"/>
          </w:tcPr>
          <w:p>
            <w:pPr>
              <w:rPr>
                <w:rFonts w:ascii="仿宋_GB2312" w:hAnsi="Times New Roman" w:eastAsia="仿宋_GB2312" w:cs="Times New Roman"/>
                <w:bCs/>
                <w:szCs w:val="21"/>
              </w:rPr>
            </w:pPr>
            <w:r>
              <w:rPr>
                <w:rFonts w:hint="eastAsia" w:ascii="仿宋_GB2312" w:hAnsi="Times New Roman" w:eastAsia="仿宋_GB2312" w:cs="Times New Roman"/>
                <w:bCs/>
                <w:szCs w:val="21"/>
              </w:rPr>
              <w:t>全市规上工业企业研发费用</w:t>
            </w:r>
          </w:p>
        </w:tc>
        <w:tc>
          <w:tcPr>
            <w:tcW w:w="677"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预期性</w:t>
            </w:r>
          </w:p>
        </w:tc>
        <w:tc>
          <w:tcPr>
            <w:tcW w:w="857"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亿元</w:t>
            </w:r>
          </w:p>
        </w:tc>
        <w:tc>
          <w:tcPr>
            <w:tcW w:w="1134"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1</w:t>
            </w:r>
            <w:r>
              <w:rPr>
                <w:rFonts w:ascii="仿宋_GB2312" w:hAnsi="Times New Roman" w:eastAsia="仿宋_GB2312" w:cs="Times New Roman"/>
                <w:bCs/>
                <w:szCs w:val="21"/>
              </w:rPr>
              <w:t>6.0</w:t>
            </w:r>
          </w:p>
        </w:tc>
        <w:tc>
          <w:tcPr>
            <w:tcW w:w="1032"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2</w:t>
            </w:r>
            <w:r>
              <w:rPr>
                <w:rFonts w:ascii="仿宋_GB2312" w:hAnsi="Times New Roman" w:eastAsia="仿宋_GB2312" w:cs="Times New Roman"/>
                <w:bCs/>
                <w:szCs w:val="21"/>
              </w:rPr>
              <w:t>5.0</w:t>
            </w:r>
          </w:p>
        </w:tc>
        <w:tc>
          <w:tcPr>
            <w:tcW w:w="1095"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9</w:t>
            </w:r>
            <w:r>
              <w:rPr>
                <w:rFonts w:ascii="仿宋_GB2312" w:hAnsi="Times New Roman" w:eastAsia="仿宋_GB2312" w:cs="Times New Roman"/>
                <w:bCs/>
                <w:szCs w:val="21"/>
              </w:rPr>
              <w:t>.3</w:t>
            </w:r>
            <w:r>
              <w:rPr>
                <w:rFonts w:hint="eastAsia" w:ascii="仿宋_GB2312" w:hAnsi="Times New Roman" w:eastAsia="仿宋_GB2312" w:cs="Times New Roman"/>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11" w:type="dxa"/>
            <w:noWrap/>
            <w:vAlign w:val="center"/>
          </w:tcPr>
          <w:p>
            <w:pPr>
              <w:jc w:val="center"/>
              <w:rPr>
                <w:rFonts w:ascii="仿宋_GB2312" w:hAnsi="Times New Roman" w:eastAsia="仿宋_GB2312" w:cs="Times New Roman"/>
                <w:bCs/>
                <w:szCs w:val="21"/>
              </w:rPr>
            </w:pPr>
            <w:r>
              <w:rPr>
                <w:rFonts w:ascii="仿宋_GB2312" w:hAnsi="Times New Roman" w:eastAsia="仿宋_GB2312" w:cs="Times New Roman"/>
                <w:bCs/>
                <w:szCs w:val="21"/>
              </w:rPr>
              <w:t>5</w:t>
            </w:r>
          </w:p>
        </w:tc>
        <w:tc>
          <w:tcPr>
            <w:tcW w:w="3053" w:type="dxa"/>
            <w:noWrap/>
            <w:vAlign w:val="center"/>
          </w:tcPr>
          <w:p>
            <w:pPr>
              <w:rPr>
                <w:rFonts w:ascii="仿宋_GB2312" w:hAnsi="Times New Roman" w:eastAsia="仿宋_GB2312" w:cs="Times New Roman"/>
                <w:bCs/>
                <w:szCs w:val="21"/>
              </w:rPr>
            </w:pPr>
            <w:r>
              <w:rPr>
                <w:rFonts w:hint="eastAsia" w:ascii="仿宋_GB2312" w:hAnsi="Times New Roman" w:eastAsia="仿宋_GB2312" w:cs="Times New Roman"/>
                <w:bCs/>
                <w:szCs w:val="21"/>
              </w:rPr>
              <w:t>高新技术企业数量</w:t>
            </w:r>
          </w:p>
        </w:tc>
        <w:tc>
          <w:tcPr>
            <w:tcW w:w="677"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预期性</w:t>
            </w:r>
          </w:p>
        </w:tc>
        <w:tc>
          <w:tcPr>
            <w:tcW w:w="857"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家</w:t>
            </w:r>
          </w:p>
        </w:tc>
        <w:tc>
          <w:tcPr>
            <w:tcW w:w="1134"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110</w:t>
            </w:r>
            <w:r>
              <w:rPr>
                <w:rFonts w:ascii="仿宋_GB2312" w:hAnsi="Times New Roman" w:eastAsia="仿宋_GB2312" w:cs="Times New Roman"/>
                <w:bCs/>
                <w:szCs w:val="21"/>
              </w:rPr>
              <w:t>（累计）</w:t>
            </w:r>
          </w:p>
        </w:tc>
        <w:tc>
          <w:tcPr>
            <w:tcW w:w="1032"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200</w:t>
            </w:r>
            <w:r>
              <w:rPr>
                <w:rFonts w:ascii="仿宋_GB2312" w:hAnsi="Times New Roman" w:eastAsia="仿宋_GB2312" w:cs="Times New Roman"/>
                <w:bCs/>
                <w:szCs w:val="21"/>
              </w:rPr>
              <w:t>（累计）</w:t>
            </w:r>
          </w:p>
        </w:tc>
        <w:tc>
          <w:tcPr>
            <w:tcW w:w="1095" w:type="dxa"/>
            <w:noWrap/>
            <w:vAlign w:val="center"/>
          </w:tcPr>
          <w:p>
            <w:pPr>
              <w:jc w:val="center"/>
              <w:rPr>
                <w:rFonts w:ascii="仿宋_GB2312" w:hAnsi="Times New Roman" w:eastAsia="仿宋_GB2312" w:cs="Times New Roman"/>
                <w:bCs/>
                <w:szCs w:val="21"/>
              </w:rPr>
            </w:pPr>
            <w:r>
              <w:rPr>
                <w:rFonts w:ascii="仿宋_GB2312" w:hAnsi="Times New Roman" w:eastAsia="仿宋_GB2312" w:cs="Times New Roman"/>
                <w:bCs/>
                <w:szCs w:val="21"/>
              </w:rPr>
              <w:t>[81.8%]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11"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6</w:t>
            </w:r>
          </w:p>
        </w:tc>
        <w:tc>
          <w:tcPr>
            <w:tcW w:w="3053" w:type="dxa"/>
            <w:noWrap/>
            <w:vAlign w:val="center"/>
          </w:tcPr>
          <w:p>
            <w:pPr>
              <w:rPr>
                <w:rFonts w:ascii="仿宋_GB2312" w:hAnsi="Times New Roman" w:eastAsia="仿宋_GB2312" w:cs="Times New Roman"/>
                <w:bCs/>
                <w:szCs w:val="21"/>
              </w:rPr>
            </w:pPr>
            <w:r>
              <w:rPr>
                <w:rFonts w:hint="eastAsia" w:ascii="仿宋_GB2312" w:hAnsi="Times New Roman" w:eastAsia="仿宋_GB2312" w:cs="Times New Roman"/>
                <w:bCs/>
                <w:szCs w:val="21"/>
              </w:rPr>
              <w:t>专家（院士）工作站</w:t>
            </w:r>
          </w:p>
        </w:tc>
        <w:tc>
          <w:tcPr>
            <w:tcW w:w="677"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预期性</w:t>
            </w:r>
          </w:p>
        </w:tc>
        <w:tc>
          <w:tcPr>
            <w:tcW w:w="857"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个</w:t>
            </w:r>
          </w:p>
        </w:tc>
        <w:tc>
          <w:tcPr>
            <w:tcW w:w="1134"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32</w:t>
            </w:r>
          </w:p>
        </w:tc>
        <w:tc>
          <w:tcPr>
            <w:tcW w:w="1032"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6</w:t>
            </w:r>
            <w:r>
              <w:rPr>
                <w:rFonts w:ascii="仿宋_GB2312" w:hAnsi="Times New Roman" w:eastAsia="仿宋_GB2312" w:cs="Times New Roman"/>
                <w:bCs/>
                <w:szCs w:val="21"/>
              </w:rPr>
              <w:t>0</w:t>
            </w:r>
          </w:p>
        </w:tc>
        <w:tc>
          <w:tcPr>
            <w:tcW w:w="1095"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1</w:t>
            </w:r>
            <w:r>
              <w:rPr>
                <w:rFonts w:ascii="仿宋_GB2312" w:hAnsi="Times New Roman" w:eastAsia="仿宋_GB2312" w:cs="Times New Roman"/>
                <w:bCs/>
                <w:szCs w:val="21"/>
              </w:rPr>
              <w:t>3.4</w:t>
            </w:r>
            <w:r>
              <w:rPr>
                <w:rFonts w:hint="eastAsia" w:ascii="仿宋_GB2312" w:hAnsi="Times New Roman" w:eastAsia="仿宋_GB2312" w:cs="Times New Roman"/>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11"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7</w:t>
            </w:r>
          </w:p>
        </w:tc>
        <w:tc>
          <w:tcPr>
            <w:tcW w:w="3053" w:type="dxa"/>
            <w:noWrap/>
            <w:vAlign w:val="center"/>
          </w:tcPr>
          <w:p>
            <w:pPr>
              <w:rPr>
                <w:rFonts w:ascii="仿宋_GB2312" w:hAnsi="Times New Roman" w:eastAsia="仿宋_GB2312" w:cs="Times New Roman"/>
                <w:bCs/>
                <w:szCs w:val="21"/>
              </w:rPr>
            </w:pPr>
            <w:r>
              <w:rPr>
                <w:rFonts w:hint="eastAsia" w:ascii="仿宋_GB2312" w:hAnsi="Times New Roman" w:eastAsia="仿宋_GB2312" w:cs="Times New Roman"/>
                <w:bCs/>
                <w:szCs w:val="21"/>
              </w:rPr>
              <w:t>引入高层次人才</w:t>
            </w:r>
          </w:p>
        </w:tc>
        <w:tc>
          <w:tcPr>
            <w:tcW w:w="677"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预期性</w:t>
            </w:r>
          </w:p>
        </w:tc>
        <w:tc>
          <w:tcPr>
            <w:tcW w:w="857"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名</w:t>
            </w:r>
          </w:p>
        </w:tc>
        <w:tc>
          <w:tcPr>
            <w:tcW w:w="1134"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3</w:t>
            </w:r>
            <w:r>
              <w:rPr>
                <w:rFonts w:ascii="仿宋_GB2312" w:hAnsi="Times New Roman" w:eastAsia="仿宋_GB2312" w:cs="Times New Roman"/>
                <w:bCs/>
                <w:szCs w:val="21"/>
              </w:rPr>
              <w:t>0</w:t>
            </w:r>
          </w:p>
        </w:tc>
        <w:tc>
          <w:tcPr>
            <w:tcW w:w="1032"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8</w:t>
            </w:r>
            <w:r>
              <w:rPr>
                <w:rFonts w:ascii="仿宋_GB2312" w:hAnsi="Times New Roman" w:eastAsia="仿宋_GB2312" w:cs="Times New Roman"/>
                <w:bCs/>
                <w:szCs w:val="21"/>
              </w:rPr>
              <w:t>0</w:t>
            </w:r>
          </w:p>
        </w:tc>
        <w:tc>
          <w:tcPr>
            <w:tcW w:w="1095"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2</w:t>
            </w:r>
            <w:r>
              <w:rPr>
                <w:rFonts w:ascii="仿宋_GB2312" w:hAnsi="Times New Roman" w:eastAsia="仿宋_GB2312" w:cs="Times New Roman"/>
                <w:bCs/>
                <w:szCs w:val="21"/>
              </w:rPr>
              <w:t>1.7</w:t>
            </w:r>
            <w:r>
              <w:rPr>
                <w:rFonts w:hint="eastAsia" w:ascii="仿宋_GB2312" w:hAnsi="Times New Roman" w:eastAsia="仿宋_GB2312" w:cs="Times New Roman"/>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11"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8</w:t>
            </w:r>
          </w:p>
        </w:tc>
        <w:tc>
          <w:tcPr>
            <w:tcW w:w="3053" w:type="dxa"/>
            <w:noWrap/>
            <w:vAlign w:val="center"/>
          </w:tcPr>
          <w:p>
            <w:pPr>
              <w:rPr>
                <w:rFonts w:ascii="仿宋_GB2312" w:hAnsi="Times New Roman" w:eastAsia="仿宋_GB2312" w:cs="Times New Roman"/>
                <w:bCs/>
                <w:szCs w:val="21"/>
              </w:rPr>
            </w:pPr>
            <w:r>
              <w:rPr>
                <w:rFonts w:hint="eastAsia" w:ascii="仿宋_GB2312" w:hAnsi="Times New Roman" w:eastAsia="仿宋_GB2312" w:cs="Times New Roman"/>
                <w:bCs/>
                <w:szCs w:val="21"/>
              </w:rPr>
              <w:t>研究与试验发展（R</w:t>
            </w:r>
            <w:r>
              <w:rPr>
                <w:rFonts w:ascii="仿宋_GB2312" w:hAnsi="Times New Roman" w:eastAsia="仿宋_GB2312" w:cs="Times New Roman"/>
                <w:bCs/>
                <w:szCs w:val="21"/>
              </w:rPr>
              <w:t>&amp;D</w:t>
            </w:r>
            <w:r>
              <w:rPr>
                <w:rFonts w:hint="eastAsia" w:ascii="仿宋_GB2312" w:hAnsi="Times New Roman" w:eastAsia="仿宋_GB2312" w:cs="Times New Roman"/>
                <w:bCs/>
                <w:szCs w:val="21"/>
              </w:rPr>
              <w:t>）经费支出占G</w:t>
            </w:r>
            <w:r>
              <w:rPr>
                <w:rFonts w:ascii="仿宋_GB2312" w:hAnsi="Times New Roman" w:eastAsia="仿宋_GB2312" w:cs="Times New Roman"/>
                <w:bCs/>
                <w:szCs w:val="21"/>
              </w:rPr>
              <w:t>DP比重</w:t>
            </w:r>
          </w:p>
        </w:tc>
        <w:tc>
          <w:tcPr>
            <w:tcW w:w="677"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预期性</w:t>
            </w:r>
          </w:p>
        </w:tc>
        <w:tc>
          <w:tcPr>
            <w:tcW w:w="857"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w:t>
            </w:r>
          </w:p>
        </w:tc>
        <w:tc>
          <w:tcPr>
            <w:tcW w:w="1134"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2</w:t>
            </w:r>
            <w:r>
              <w:rPr>
                <w:rFonts w:ascii="仿宋_GB2312" w:hAnsi="Times New Roman" w:eastAsia="仿宋_GB2312" w:cs="Times New Roman"/>
                <w:bCs/>
                <w:szCs w:val="21"/>
              </w:rPr>
              <w:t>.3</w:t>
            </w:r>
          </w:p>
        </w:tc>
        <w:tc>
          <w:tcPr>
            <w:tcW w:w="1032"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3</w:t>
            </w:r>
          </w:p>
        </w:tc>
        <w:tc>
          <w:tcPr>
            <w:tcW w:w="1095"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w:t>
            </w:r>
            <w:r>
              <w:rPr>
                <w:rFonts w:ascii="仿宋_GB2312" w:hAnsi="Times New Roman" w:eastAsia="仿宋_GB2312" w:cs="Times New Roman"/>
                <w:bCs/>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11"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9</w:t>
            </w:r>
          </w:p>
        </w:tc>
        <w:tc>
          <w:tcPr>
            <w:tcW w:w="3053" w:type="dxa"/>
            <w:noWrap/>
            <w:vAlign w:val="center"/>
          </w:tcPr>
          <w:p>
            <w:pPr>
              <w:rPr>
                <w:rFonts w:ascii="仿宋_GB2312" w:hAnsi="Times New Roman" w:eastAsia="仿宋_GB2312" w:cs="Times New Roman"/>
                <w:bCs/>
                <w:szCs w:val="21"/>
              </w:rPr>
            </w:pPr>
            <w:r>
              <w:rPr>
                <w:rFonts w:hint="eastAsia" w:ascii="仿宋_GB2312" w:hAnsi="Times New Roman" w:eastAsia="仿宋_GB2312" w:cs="Times New Roman"/>
                <w:bCs/>
                <w:szCs w:val="21"/>
              </w:rPr>
              <w:t>每万人口发明专利拥有量</w:t>
            </w:r>
          </w:p>
        </w:tc>
        <w:tc>
          <w:tcPr>
            <w:tcW w:w="677"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预期性</w:t>
            </w:r>
          </w:p>
        </w:tc>
        <w:tc>
          <w:tcPr>
            <w:tcW w:w="857"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件</w:t>
            </w:r>
          </w:p>
        </w:tc>
        <w:tc>
          <w:tcPr>
            <w:tcW w:w="1134"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5</w:t>
            </w:r>
            <w:r>
              <w:rPr>
                <w:rFonts w:ascii="仿宋_GB2312" w:hAnsi="Times New Roman" w:eastAsia="仿宋_GB2312" w:cs="Times New Roman"/>
                <w:bCs/>
                <w:szCs w:val="21"/>
              </w:rPr>
              <w:t>3.6</w:t>
            </w:r>
          </w:p>
        </w:tc>
        <w:tc>
          <w:tcPr>
            <w:tcW w:w="1032"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8</w:t>
            </w:r>
            <w:r>
              <w:rPr>
                <w:rFonts w:ascii="仿宋_GB2312" w:hAnsi="Times New Roman" w:eastAsia="仿宋_GB2312" w:cs="Times New Roman"/>
                <w:bCs/>
                <w:szCs w:val="21"/>
              </w:rPr>
              <w:t>6.3</w:t>
            </w:r>
          </w:p>
        </w:tc>
        <w:tc>
          <w:tcPr>
            <w:tcW w:w="1095"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1</w:t>
            </w:r>
            <w:r>
              <w:rPr>
                <w:rFonts w:ascii="仿宋_GB2312" w:hAnsi="Times New Roman" w:eastAsia="仿宋_GB2312" w:cs="Times New Roman"/>
                <w:bCs/>
                <w:szCs w:val="21"/>
              </w:rPr>
              <w:t>0.0</w:t>
            </w:r>
            <w:r>
              <w:rPr>
                <w:rFonts w:hint="eastAsia" w:ascii="仿宋_GB2312" w:hAnsi="Times New Roman" w:eastAsia="仿宋_GB2312" w:cs="Times New Roman"/>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59" w:type="dxa"/>
            <w:gridSpan w:val="7"/>
            <w:noWrap/>
            <w:vAlign w:val="center"/>
          </w:tcPr>
          <w:p>
            <w:pPr>
              <w:jc w:val="left"/>
              <w:rPr>
                <w:rFonts w:ascii="仿宋_GB2312" w:hAnsi="Times New Roman" w:eastAsia="仿宋_GB2312" w:cs="Times New Roman"/>
                <w:b/>
                <w:bCs/>
                <w:szCs w:val="21"/>
              </w:rPr>
            </w:pPr>
            <w:r>
              <w:rPr>
                <w:rFonts w:hint="eastAsia" w:ascii="仿宋_GB2312" w:hAnsi="Times New Roman" w:eastAsia="仿宋_GB2312" w:cs="Times New Roman"/>
                <w:b/>
                <w:bCs/>
                <w:szCs w:val="21"/>
              </w:rPr>
              <w:t>三、两化融合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11"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1</w:t>
            </w:r>
          </w:p>
        </w:tc>
        <w:tc>
          <w:tcPr>
            <w:tcW w:w="3053" w:type="dxa"/>
            <w:noWrap/>
            <w:vAlign w:val="center"/>
          </w:tcPr>
          <w:p>
            <w:pPr>
              <w:rPr>
                <w:rFonts w:ascii="仿宋_GB2312" w:hAnsi="Times New Roman" w:eastAsia="仿宋_GB2312" w:cs="Times New Roman"/>
                <w:bCs/>
                <w:szCs w:val="21"/>
              </w:rPr>
            </w:pPr>
            <w:r>
              <w:rPr>
                <w:rFonts w:hint="eastAsia" w:ascii="仿宋_GB2312" w:hAnsi="Times New Roman" w:eastAsia="仿宋_GB2312" w:cs="Times New Roman"/>
                <w:bCs/>
                <w:szCs w:val="21"/>
              </w:rPr>
              <w:t>两化融合指数</w:t>
            </w:r>
          </w:p>
        </w:tc>
        <w:tc>
          <w:tcPr>
            <w:tcW w:w="677"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预期性</w:t>
            </w:r>
          </w:p>
        </w:tc>
        <w:tc>
          <w:tcPr>
            <w:tcW w:w="857" w:type="dxa"/>
            <w:noWrap/>
            <w:vAlign w:val="center"/>
          </w:tcPr>
          <w:p>
            <w:pPr>
              <w:ind w:firstLine="420" w:firstLineChars="200"/>
              <w:jc w:val="center"/>
              <w:rPr>
                <w:rFonts w:ascii="仿宋_GB2312" w:hAnsi="Times New Roman" w:eastAsia="仿宋_GB2312" w:cs="Times New Roman"/>
                <w:bCs/>
                <w:szCs w:val="21"/>
              </w:rPr>
            </w:pPr>
          </w:p>
        </w:tc>
        <w:tc>
          <w:tcPr>
            <w:tcW w:w="1134"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w:t>
            </w:r>
          </w:p>
        </w:tc>
        <w:tc>
          <w:tcPr>
            <w:tcW w:w="1032"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8</w:t>
            </w:r>
            <w:r>
              <w:rPr>
                <w:rFonts w:ascii="仿宋_GB2312" w:hAnsi="Times New Roman" w:eastAsia="仿宋_GB2312" w:cs="Times New Roman"/>
                <w:bCs/>
                <w:szCs w:val="21"/>
              </w:rPr>
              <w:t>5</w:t>
            </w:r>
          </w:p>
        </w:tc>
        <w:tc>
          <w:tcPr>
            <w:tcW w:w="1095"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511"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2</w:t>
            </w:r>
          </w:p>
        </w:tc>
        <w:tc>
          <w:tcPr>
            <w:tcW w:w="3053" w:type="dxa"/>
            <w:vAlign w:val="center"/>
          </w:tcPr>
          <w:p>
            <w:pPr>
              <w:rPr>
                <w:rFonts w:ascii="仿宋_GB2312" w:hAnsi="Times New Roman" w:eastAsia="仿宋_GB2312" w:cs="Times New Roman"/>
                <w:bCs/>
                <w:szCs w:val="21"/>
              </w:rPr>
            </w:pPr>
            <w:r>
              <w:rPr>
                <w:rFonts w:hint="eastAsia" w:ascii="仿宋_GB2312" w:hAnsi="Times New Roman" w:eastAsia="仿宋_GB2312" w:cs="Times New Roman"/>
                <w:bCs/>
                <w:szCs w:val="21"/>
              </w:rPr>
              <w:t>计算机辅助设计、计算机制造工程等数字化设计工具在规模以上企业的应用率</w:t>
            </w:r>
          </w:p>
        </w:tc>
        <w:tc>
          <w:tcPr>
            <w:tcW w:w="677"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预期性</w:t>
            </w:r>
          </w:p>
        </w:tc>
        <w:tc>
          <w:tcPr>
            <w:tcW w:w="857"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w:t>
            </w:r>
          </w:p>
        </w:tc>
        <w:tc>
          <w:tcPr>
            <w:tcW w:w="1134"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w:t>
            </w:r>
          </w:p>
        </w:tc>
        <w:tc>
          <w:tcPr>
            <w:tcW w:w="1032"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8</w:t>
            </w:r>
            <w:r>
              <w:rPr>
                <w:rFonts w:ascii="仿宋_GB2312" w:hAnsi="Times New Roman" w:eastAsia="仿宋_GB2312" w:cs="Times New Roman"/>
                <w:bCs/>
                <w:szCs w:val="21"/>
              </w:rPr>
              <w:t>0</w:t>
            </w:r>
            <w:r>
              <w:rPr>
                <w:rFonts w:hint="eastAsia" w:ascii="仿宋_GB2312" w:hAnsi="Times New Roman" w:eastAsia="仿宋_GB2312" w:cs="Times New Roman"/>
                <w:bCs/>
                <w:szCs w:val="21"/>
              </w:rPr>
              <w:t>%</w:t>
            </w:r>
          </w:p>
        </w:tc>
        <w:tc>
          <w:tcPr>
            <w:tcW w:w="1095"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11"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3</w:t>
            </w:r>
          </w:p>
        </w:tc>
        <w:tc>
          <w:tcPr>
            <w:tcW w:w="3053" w:type="dxa"/>
            <w:noWrap/>
            <w:vAlign w:val="center"/>
          </w:tcPr>
          <w:p>
            <w:pPr>
              <w:rPr>
                <w:rFonts w:ascii="仿宋_GB2312" w:hAnsi="Times New Roman" w:eastAsia="仿宋_GB2312" w:cs="Times New Roman"/>
                <w:bCs/>
                <w:szCs w:val="21"/>
              </w:rPr>
            </w:pPr>
            <w:r>
              <w:rPr>
                <w:rFonts w:hint="eastAsia" w:ascii="仿宋_GB2312" w:hAnsi="Times New Roman" w:eastAsia="仿宋_GB2312" w:cs="Times New Roman"/>
                <w:bCs/>
                <w:szCs w:val="21"/>
              </w:rPr>
              <w:t>关键工序数控率</w:t>
            </w:r>
          </w:p>
        </w:tc>
        <w:tc>
          <w:tcPr>
            <w:tcW w:w="677"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预期性</w:t>
            </w:r>
          </w:p>
        </w:tc>
        <w:tc>
          <w:tcPr>
            <w:tcW w:w="857"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w:t>
            </w:r>
          </w:p>
        </w:tc>
        <w:tc>
          <w:tcPr>
            <w:tcW w:w="1134"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w:t>
            </w:r>
          </w:p>
        </w:tc>
        <w:tc>
          <w:tcPr>
            <w:tcW w:w="1032"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6</w:t>
            </w:r>
            <w:r>
              <w:rPr>
                <w:rFonts w:ascii="仿宋_GB2312" w:hAnsi="Times New Roman" w:eastAsia="仿宋_GB2312" w:cs="Times New Roman"/>
                <w:bCs/>
                <w:szCs w:val="21"/>
              </w:rPr>
              <w:t>0</w:t>
            </w:r>
            <w:r>
              <w:rPr>
                <w:rFonts w:hint="eastAsia" w:ascii="仿宋_GB2312" w:hAnsi="Times New Roman" w:eastAsia="仿宋_GB2312" w:cs="Times New Roman"/>
                <w:bCs/>
                <w:szCs w:val="21"/>
              </w:rPr>
              <w:t>%</w:t>
            </w:r>
          </w:p>
        </w:tc>
        <w:tc>
          <w:tcPr>
            <w:tcW w:w="1095"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11"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4</w:t>
            </w:r>
          </w:p>
        </w:tc>
        <w:tc>
          <w:tcPr>
            <w:tcW w:w="3053" w:type="dxa"/>
            <w:noWrap/>
            <w:vAlign w:val="center"/>
          </w:tcPr>
          <w:p>
            <w:pPr>
              <w:rPr>
                <w:rFonts w:ascii="仿宋_GB2312" w:hAnsi="Times New Roman" w:eastAsia="仿宋_GB2312" w:cs="Times New Roman"/>
                <w:bCs/>
                <w:szCs w:val="21"/>
              </w:rPr>
            </w:pPr>
            <w:r>
              <w:rPr>
                <w:rFonts w:hint="eastAsia" w:ascii="仿宋_GB2312" w:hAnsi="Times New Roman" w:eastAsia="仿宋_GB2312" w:cs="Times New Roman"/>
                <w:bCs/>
                <w:szCs w:val="21"/>
              </w:rPr>
              <w:t>固定宽带家庭普及率</w:t>
            </w:r>
          </w:p>
        </w:tc>
        <w:tc>
          <w:tcPr>
            <w:tcW w:w="677"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预期性</w:t>
            </w:r>
          </w:p>
        </w:tc>
        <w:tc>
          <w:tcPr>
            <w:tcW w:w="857"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w:t>
            </w:r>
          </w:p>
        </w:tc>
        <w:tc>
          <w:tcPr>
            <w:tcW w:w="1134"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9</w:t>
            </w:r>
            <w:r>
              <w:rPr>
                <w:rFonts w:ascii="仿宋_GB2312" w:hAnsi="Times New Roman" w:eastAsia="仿宋_GB2312" w:cs="Times New Roman"/>
                <w:bCs/>
                <w:szCs w:val="21"/>
              </w:rPr>
              <w:t>2</w:t>
            </w:r>
          </w:p>
        </w:tc>
        <w:tc>
          <w:tcPr>
            <w:tcW w:w="1032"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9</w:t>
            </w:r>
            <w:r>
              <w:rPr>
                <w:rFonts w:ascii="仿宋_GB2312" w:hAnsi="Times New Roman" w:eastAsia="仿宋_GB2312" w:cs="Times New Roman"/>
                <w:bCs/>
                <w:szCs w:val="21"/>
              </w:rPr>
              <w:t>7</w:t>
            </w:r>
          </w:p>
        </w:tc>
        <w:tc>
          <w:tcPr>
            <w:tcW w:w="1095" w:type="dxa"/>
            <w:noWrap/>
            <w:vAlign w:val="center"/>
          </w:tcPr>
          <w:p>
            <w:pPr>
              <w:jc w:val="center"/>
              <w:rPr>
                <w:rFonts w:ascii="仿宋_GB2312" w:hAnsi="Times New Roman" w:eastAsia="仿宋_GB2312" w:cs="Times New Roman"/>
                <w:bCs/>
                <w:szCs w:val="21"/>
              </w:rPr>
            </w:pPr>
            <w:r>
              <w:rPr>
                <w:rFonts w:ascii="仿宋_GB2312" w:hAnsi="Times New Roman" w:eastAsia="仿宋_GB2312" w:cs="Times New Roman"/>
                <w:bCs/>
                <w:szCs w:val="21"/>
              </w:rPr>
              <w:t>[5.0</w:t>
            </w:r>
            <w:r>
              <w:rPr>
                <w:rFonts w:hint="eastAsia" w:ascii="仿宋_GB2312" w:hAnsi="Times New Roman" w:eastAsia="仿宋_GB2312" w:cs="Times New Roman"/>
                <w:bCs/>
                <w:szCs w:val="21"/>
              </w:rPr>
              <w:t>%</w:t>
            </w:r>
            <w:r>
              <w:rPr>
                <w:rFonts w:ascii="仿宋_GB2312" w:hAnsi="Times New Roman" w:eastAsia="仿宋_GB2312" w:cs="Times New Roman"/>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11"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5</w:t>
            </w:r>
          </w:p>
        </w:tc>
        <w:tc>
          <w:tcPr>
            <w:tcW w:w="3053" w:type="dxa"/>
            <w:noWrap/>
            <w:vAlign w:val="center"/>
          </w:tcPr>
          <w:p>
            <w:pPr>
              <w:rPr>
                <w:rFonts w:ascii="仿宋_GB2312" w:hAnsi="Times New Roman" w:eastAsia="仿宋_GB2312" w:cs="Times New Roman"/>
                <w:bCs/>
                <w:szCs w:val="21"/>
              </w:rPr>
            </w:pPr>
            <w:r>
              <w:rPr>
                <w:rFonts w:hint="eastAsia" w:ascii="仿宋_GB2312" w:hAnsi="Times New Roman" w:eastAsia="仿宋_GB2312" w:cs="Times New Roman"/>
                <w:bCs/>
                <w:szCs w:val="21"/>
              </w:rPr>
              <w:t>移动宽带普及率</w:t>
            </w:r>
          </w:p>
        </w:tc>
        <w:tc>
          <w:tcPr>
            <w:tcW w:w="677"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预期性</w:t>
            </w:r>
          </w:p>
        </w:tc>
        <w:tc>
          <w:tcPr>
            <w:tcW w:w="857"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w:t>
            </w:r>
          </w:p>
        </w:tc>
        <w:tc>
          <w:tcPr>
            <w:tcW w:w="1134"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9</w:t>
            </w:r>
            <w:r>
              <w:rPr>
                <w:rFonts w:ascii="仿宋_GB2312" w:hAnsi="Times New Roman" w:eastAsia="仿宋_GB2312" w:cs="Times New Roman"/>
                <w:bCs/>
                <w:szCs w:val="21"/>
              </w:rPr>
              <w:t>5</w:t>
            </w:r>
          </w:p>
        </w:tc>
        <w:tc>
          <w:tcPr>
            <w:tcW w:w="1032"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9</w:t>
            </w:r>
            <w:r>
              <w:rPr>
                <w:rFonts w:ascii="仿宋_GB2312" w:hAnsi="Times New Roman" w:eastAsia="仿宋_GB2312" w:cs="Times New Roman"/>
                <w:bCs/>
                <w:szCs w:val="21"/>
              </w:rPr>
              <w:t>8</w:t>
            </w:r>
          </w:p>
        </w:tc>
        <w:tc>
          <w:tcPr>
            <w:tcW w:w="1095" w:type="dxa"/>
            <w:noWrap/>
            <w:vAlign w:val="center"/>
          </w:tcPr>
          <w:p>
            <w:pPr>
              <w:jc w:val="center"/>
              <w:rPr>
                <w:rFonts w:ascii="仿宋_GB2312" w:hAnsi="Times New Roman" w:eastAsia="仿宋_GB2312" w:cs="Times New Roman"/>
                <w:bCs/>
                <w:szCs w:val="21"/>
              </w:rPr>
            </w:pPr>
            <w:r>
              <w:rPr>
                <w:rFonts w:ascii="仿宋_GB2312" w:hAnsi="Times New Roman" w:eastAsia="仿宋_GB2312" w:cs="Times New Roman"/>
                <w:bCs/>
                <w:szCs w:val="21"/>
              </w:rPr>
              <w:t>[3.0</w:t>
            </w:r>
            <w:r>
              <w:rPr>
                <w:rFonts w:hint="eastAsia" w:ascii="仿宋_GB2312" w:hAnsi="Times New Roman" w:eastAsia="仿宋_GB2312" w:cs="Times New Roman"/>
                <w:bCs/>
                <w:szCs w:val="21"/>
              </w:rPr>
              <w:t>%</w:t>
            </w:r>
            <w:r>
              <w:rPr>
                <w:rFonts w:ascii="仿宋_GB2312" w:hAnsi="Times New Roman" w:eastAsia="仿宋_GB2312" w:cs="Times New Roman"/>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59" w:type="dxa"/>
            <w:gridSpan w:val="7"/>
            <w:noWrap/>
            <w:vAlign w:val="center"/>
          </w:tcPr>
          <w:p>
            <w:pPr>
              <w:rPr>
                <w:rFonts w:ascii="仿宋_GB2312" w:hAnsi="Times New Roman" w:eastAsia="仿宋_GB2312" w:cs="Times New Roman"/>
                <w:b/>
                <w:bCs/>
                <w:szCs w:val="21"/>
              </w:rPr>
            </w:pPr>
            <w:r>
              <w:rPr>
                <w:rFonts w:hint="eastAsia" w:ascii="仿宋_GB2312" w:hAnsi="Times New Roman" w:eastAsia="仿宋_GB2312" w:cs="Times New Roman"/>
                <w:b/>
                <w:bCs/>
                <w:szCs w:val="21"/>
              </w:rPr>
              <w:t>四、绿色发展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11"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1</w:t>
            </w:r>
          </w:p>
        </w:tc>
        <w:tc>
          <w:tcPr>
            <w:tcW w:w="3053" w:type="dxa"/>
            <w:noWrap/>
            <w:vAlign w:val="center"/>
          </w:tcPr>
          <w:p>
            <w:pPr>
              <w:rPr>
                <w:rFonts w:ascii="仿宋_GB2312" w:hAnsi="Times New Roman" w:eastAsia="仿宋_GB2312" w:cs="Times New Roman"/>
                <w:bCs/>
                <w:szCs w:val="21"/>
              </w:rPr>
            </w:pPr>
            <w:r>
              <w:rPr>
                <w:rFonts w:hint="eastAsia" w:ascii="仿宋_GB2312" w:hAnsi="Times New Roman" w:eastAsia="仿宋_GB2312" w:cs="Times New Roman"/>
                <w:bCs/>
                <w:szCs w:val="21"/>
              </w:rPr>
              <w:t>万元工业增加值能耗下降</w:t>
            </w:r>
          </w:p>
        </w:tc>
        <w:tc>
          <w:tcPr>
            <w:tcW w:w="677"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约束性</w:t>
            </w:r>
          </w:p>
        </w:tc>
        <w:tc>
          <w:tcPr>
            <w:tcW w:w="857"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w:t>
            </w:r>
          </w:p>
        </w:tc>
        <w:tc>
          <w:tcPr>
            <w:tcW w:w="1134"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w:t>
            </w:r>
          </w:p>
        </w:tc>
        <w:tc>
          <w:tcPr>
            <w:tcW w:w="1032"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1</w:t>
            </w:r>
            <w:r>
              <w:rPr>
                <w:rFonts w:ascii="仿宋_GB2312" w:hAnsi="Times New Roman" w:eastAsia="仿宋_GB2312" w:cs="Times New Roman"/>
                <w:bCs/>
                <w:szCs w:val="21"/>
              </w:rPr>
              <w:t>5</w:t>
            </w:r>
            <w:r>
              <w:rPr>
                <w:rFonts w:hint="eastAsia" w:ascii="仿宋_GB2312" w:hAnsi="Times New Roman" w:eastAsia="仿宋_GB2312" w:cs="Times New Roman"/>
                <w:bCs/>
                <w:szCs w:val="21"/>
              </w:rPr>
              <w:t>%（以最后省市下达指标为准）</w:t>
            </w:r>
          </w:p>
        </w:tc>
        <w:tc>
          <w:tcPr>
            <w:tcW w:w="1095" w:type="dxa"/>
            <w:noWrap/>
            <w:vAlign w:val="center"/>
          </w:tcPr>
          <w:p>
            <w:pPr>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w:t>
            </w:r>
          </w:p>
        </w:tc>
      </w:tr>
    </w:tbl>
    <w:p>
      <w:pPr>
        <w:ind w:firstLine="560" w:firstLineChars="200"/>
        <w:rPr>
          <w:rFonts w:ascii="Times New Roman" w:hAnsi="Times New Roman" w:eastAsia="仿宋_GB2312" w:cs="Times New Roman"/>
          <w:sz w:val="28"/>
          <w:szCs w:val="32"/>
        </w:rPr>
      </w:pPr>
    </w:p>
    <w:p>
      <w:pPr>
        <w:widowControl/>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br w:type="page"/>
      </w:r>
    </w:p>
    <w:p>
      <w:pPr>
        <w:keepNext/>
        <w:keepLines/>
        <w:spacing w:before="120" w:after="120" w:line="578" w:lineRule="auto"/>
        <w:jc w:val="center"/>
        <w:outlineLvl w:val="0"/>
        <w:rPr>
          <w:rFonts w:ascii="Times New Roman" w:hAnsi="Times New Roman" w:eastAsia="黑体" w:cs="Times New Roman"/>
          <w:b/>
          <w:bCs/>
          <w:kern w:val="44"/>
          <w:sz w:val="36"/>
          <w:szCs w:val="44"/>
        </w:rPr>
      </w:pPr>
      <w:bookmarkStart w:id="29" w:name="_Toc91669974"/>
      <w:r>
        <w:rPr>
          <w:rFonts w:ascii="Times New Roman" w:hAnsi="Times New Roman" w:eastAsia="黑体" w:cs="Times New Roman"/>
          <w:b/>
          <w:bCs/>
          <w:kern w:val="44"/>
          <w:sz w:val="36"/>
          <w:szCs w:val="44"/>
        </w:rPr>
        <w:t>第三章</w:t>
      </w:r>
      <w:r>
        <w:rPr>
          <w:rFonts w:hint="eastAsia" w:ascii="Times New Roman" w:hAnsi="Times New Roman" w:eastAsia="黑体" w:cs="Times New Roman"/>
          <w:b/>
          <w:bCs/>
          <w:kern w:val="44"/>
          <w:sz w:val="36"/>
          <w:szCs w:val="44"/>
        </w:rPr>
        <w:t xml:space="preserve"> </w:t>
      </w:r>
      <w:r>
        <w:rPr>
          <w:rFonts w:ascii="Times New Roman" w:hAnsi="Times New Roman" w:eastAsia="黑体" w:cs="Times New Roman"/>
          <w:b/>
          <w:bCs/>
          <w:kern w:val="44"/>
          <w:sz w:val="36"/>
          <w:szCs w:val="44"/>
        </w:rPr>
        <w:t>构建现代工业体系</w:t>
      </w:r>
      <w:bookmarkEnd w:id="29"/>
    </w:p>
    <w:p>
      <w:pPr>
        <w:keepNext/>
        <w:keepLines/>
        <w:spacing w:before="120" w:after="120" w:line="360" w:lineRule="auto"/>
        <w:jc w:val="left"/>
        <w:outlineLvl w:val="1"/>
        <w:rPr>
          <w:rFonts w:ascii="Times New Roman" w:hAnsi="Times New Roman" w:eastAsia="黑体" w:cs="Times New Roman"/>
          <w:b/>
          <w:bCs/>
          <w:sz w:val="32"/>
          <w:szCs w:val="32"/>
        </w:rPr>
      </w:pPr>
      <w:bookmarkStart w:id="30" w:name="_Toc91669975"/>
      <w:r>
        <w:rPr>
          <w:rFonts w:ascii="Times New Roman" w:hAnsi="Times New Roman" w:eastAsia="黑体" w:cs="Times New Roman"/>
          <w:b/>
          <w:bCs/>
          <w:sz w:val="32"/>
          <w:szCs w:val="32"/>
        </w:rPr>
        <w:t>一、做大做强重点产业</w:t>
      </w:r>
      <w:bookmarkEnd w:id="30"/>
    </w:p>
    <w:p>
      <w:pPr>
        <w:keepNext/>
        <w:keepLines/>
        <w:spacing w:before="120" w:after="120" w:line="360" w:lineRule="auto"/>
        <w:jc w:val="left"/>
        <w:outlineLvl w:val="2"/>
        <w:rPr>
          <w:rFonts w:ascii="Times New Roman" w:hAnsi="Times New Roman" w:cs="Times New Roman"/>
          <w:b/>
          <w:bCs/>
          <w:sz w:val="30"/>
          <w:szCs w:val="32"/>
        </w:rPr>
      </w:pPr>
      <w:bookmarkStart w:id="31" w:name="_Toc91669976"/>
      <w:r>
        <w:rPr>
          <w:rFonts w:ascii="Times New Roman" w:hAnsi="Times New Roman" w:cs="Times New Roman"/>
          <w:b/>
          <w:bCs/>
          <w:sz w:val="30"/>
          <w:szCs w:val="32"/>
        </w:rPr>
        <w:t>（一）聚焦智能制造，实现优势制造业转型升级</w:t>
      </w:r>
      <w:bookmarkEnd w:id="31"/>
    </w:p>
    <w:p>
      <w:pPr>
        <w:keepNext/>
        <w:keepLines/>
        <w:spacing w:before="120" w:after="120" w:line="360" w:lineRule="auto"/>
        <w:jc w:val="left"/>
        <w:outlineLvl w:val="3"/>
        <w:rPr>
          <w:rFonts w:ascii="Times New Roman" w:hAnsi="Times New Roman" w:cs="Times New Roman"/>
          <w:b/>
          <w:bCs/>
          <w:sz w:val="28"/>
          <w:szCs w:val="28"/>
        </w:rPr>
      </w:pPr>
      <w:bookmarkStart w:id="32" w:name="_Toc91669977"/>
      <w:r>
        <w:rPr>
          <w:rFonts w:ascii="Times New Roman" w:hAnsi="Times New Roman" w:cs="Times New Roman"/>
          <w:b/>
          <w:bCs/>
          <w:sz w:val="28"/>
          <w:szCs w:val="28"/>
        </w:rPr>
        <w:t>1、汽车产业</w:t>
      </w:r>
      <w:bookmarkEnd w:id="32"/>
    </w:p>
    <w:p>
      <w:pPr>
        <w:adjustRightInd w:val="0"/>
        <w:snapToGrid w:val="0"/>
        <w:spacing w:line="360" w:lineRule="auto"/>
        <w:ind w:firstLine="562" w:firstLineChars="200"/>
        <w:rPr>
          <w:rFonts w:ascii="Times New Roman" w:hAnsi="Times New Roman" w:cs="Times New Roman"/>
          <w:color w:val="000000"/>
          <w:sz w:val="28"/>
          <w:szCs w:val="32"/>
        </w:rPr>
      </w:pPr>
      <w:r>
        <w:rPr>
          <w:rFonts w:ascii="Times New Roman" w:hAnsi="Times New Roman" w:cs="Times New Roman"/>
          <w:b/>
          <w:color w:val="000000"/>
          <w:sz w:val="28"/>
          <w:szCs w:val="32"/>
        </w:rPr>
        <w:t>（1）总体发展思路</w:t>
      </w:r>
    </w:p>
    <w:p>
      <w:pPr>
        <w:adjustRightInd w:val="0"/>
        <w:snapToGrid w:val="0"/>
        <w:spacing w:before="156" w:beforeLines="50" w:after="156" w:afterLines="50" w:line="360" w:lineRule="auto"/>
        <w:ind w:firstLine="560" w:firstLineChars="200"/>
        <w:rPr>
          <w:rFonts w:ascii="Times New Roman" w:hAnsi="Times New Roman" w:cs="Times New Roman"/>
          <w:color w:val="000000"/>
          <w:sz w:val="28"/>
          <w:szCs w:val="32"/>
        </w:rPr>
      </w:pPr>
      <w:r>
        <w:rPr>
          <w:rFonts w:ascii="Times New Roman" w:hAnsi="Times New Roman" w:cs="Times New Roman"/>
          <w:color w:val="000000"/>
          <w:sz w:val="28"/>
          <w:szCs w:val="32"/>
        </w:rPr>
        <w:t>以</w:t>
      </w:r>
      <w:r>
        <w:rPr>
          <w:rFonts w:hint="eastAsia" w:ascii="Times New Roman" w:hAnsi="Times New Roman" w:cs="Times New Roman"/>
          <w:color w:val="000000"/>
          <w:sz w:val="28"/>
          <w:szCs w:val="32"/>
        </w:rPr>
        <w:t>青口汽车工业园区</w:t>
      </w:r>
      <w:r>
        <w:rPr>
          <w:rFonts w:ascii="Times New Roman" w:hAnsi="Times New Roman" w:cs="Times New Roman"/>
          <w:color w:val="000000"/>
          <w:sz w:val="28"/>
          <w:szCs w:val="32"/>
        </w:rPr>
        <w:t>为核心，突出重大项目建设，打造以整车制造为核心、核心零部件配套和后市场服务相协调的产业体系，加快构建各有所长的分工协作格局。坚持培育整车龙头企业，支持福建奔驰与东南汽车做大做强，重点引进新能源汽车整车厂商，进一步完善企业营商环境。积极引进新能源汽车核心零部件厂商，鼓励中小企业针对细分市场，开发差异化的产品和服务，推进技术、产品、管理模式和商业模式创新，打造一批专注于细分市场，技术或服务出色、市场占有率高的企业，打造特色产业集群。</w:t>
      </w:r>
      <w:r>
        <w:rPr>
          <w:rFonts w:hint="eastAsia" w:ascii="Times New Roman" w:hAnsi="Times New Roman" w:cs="Times New Roman"/>
          <w:color w:val="000000"/>
          <w:sz w:val="28"/>
          <w:szCs w:val="32"/>
        </w:rPr>
        <w:t>到2025年，汽车产业实现产值突破</w:t>
      </w:r>
      <w:r>
        <w:rPr>
          <w:rFonts w:ascii="Times New Roman" w:hAnsi="Times New Roman" w:cs="Times New Roman"/>
          <w:color w:val="000000"/>
          <w:sz w:val="28"/>
          <w:szCs w:val="32"/>
        </w:rPr>
        <w:t>500</w:t>
      </w:r>
      <w:r>
        <w:rPr>
          <w:rFonts w:hint="eastAsia" w:ascii="Times New Roman" w:hAnsi="Times New Roman" w:cs="Times New Roman"/>
          <w:color w:val="000000"/>
          <w:sz w:val="28"/>
          <w:szCs w:val="32"/>
        </w:rPr>
        <w:t>亿元，整车年产能超过30万辆。</w:t>
      </w:r>
    </w:p>
    <w:p>
      <w:pPr>
        <w:adjustRightInd w:val="0"/>
        <w:snapToGrid w:val="0"/>
        <w:spacing w:line="360" w:lineRule="auto"/>
        <w:ind w:firstLine="562" w:firstLineChars="200"/>
        <w:rPr>
          <w:rFonts w:ascii="Times New Roman" w:hAnsi="Times New Roman" w:cs="Times New Roman"/>
          <w:b/>
          <w:color w:val="000000"/>
          <w:sz w:val="28"/>
          <w:szCs w:val="32"/>
        </w:rPr>
      </w:pPr>
      <w:r>
        <w:rPr>
          <w:rFonts w:ascii="Times New Roman" w:hAnsi="Times New Roman" w:cs="Times New Roman"/>
          <w:b/>
          <w:color w:val="000000"/>
          <w:sz w:val="28"/>
          <w:szCs w:val="32"/>
        </w:rPr>
        <w:t>（2）发展内容</w:t>
      </w:r>
    </w:p>
    <w:p>
      <w:pPr>
        <w:adjustRightInd w:val="0"/>
        <w:snapToGrid w:val="0"/>
        <w:spacing w:before="156" w:beforeLines="50" w:after="156" w:afterLines="50" w:line="360" w:lineRule="auto"/>
        <w:ind w:firstLine="562" w:firstLineChars="200"/>
        <w:rPr>
          <w:rFonts w:ascii="Times New Roman" w:hAnsi="Times New Roman" w:cs="Times New Roman"/>
          <w:color w:val="000000"/>
          <w:sz w:val="28"/>
          <w:szCs w:val="32"/>
        </w:rPr>
      </w:pPr>
      <w:r>
        <w:rPr>
          <w:rFonts w:ascii="Times New Roman" w:hAnsi="Times New Roman" w:cs="Times New Roman"/>
          <w:b/>
          <w:color w:val="000000"/>
          <w:sz w:val="28"/>
          <w:szCs w:val="32"/>
        </w:rPr>
        <w:t>——壮大汽车整车制造，进一步提升综合实力和集聚能力。</w:t>
      </w:r>
      <w:r>
        <w:rPr>
          <w:rFonts w:ascii="Times New Roman" w:hAnsi="Times New Roman" w:cs="Times New Roman"/>
          <w:color w:val="000000"/>
          <w:sz w:val="28"/>
          <w:szCs w:val="32"/>
        </w:rPr>
        <w:t>依托福建奔驰和东南汽车进一步拓展汽车整车制造产业，同时加快新能源汽车整车生产项目招引和推进，努力构建乘用车、商务车、新能源汽车全系列整车制造产业集群。</w:t>
      </w:r>
      <w:r>
        <w:rPr>
          <w:rFonts w:hint="eastAsia" w:ascii="Times New Roman" w:hAnsi="Times New Roman" w:cs="Times New Roman"/>
          <w:color w:val="000000"/>
          <w:sz w:val="28"/>
          <w:szCs w:val="32"/>
        </w:rPr>
        <w:t>以整车企业改造升级为重点，以推进新能源、智能网联汽车发展为突破口，加快全产业链转型升级步伐。</w:t>
      </w:r>
    </w:p>
    <w:p>
      <w:pPr>
        <w:adjustRightInd w:val="0"/>
        <w:snapToGrid w:val="0"/>
        <w:spacing w:before="156" w:beforeLines="50" w:after="156" w:afterLines="50" w:line="360" w:lineRule="auto"/>
        <w:ind w:firstLine="560" w:firstLineChars="200"/>
        <w:rPr>
          <w:rFonts w:ascii="Times New Roman" w:hAnsi="Times New Roman" w:cs="Times New Roman"/>
          <w:color w:val="000000"/>
          <w:sz w:val="28"/>
          <w:szCs w:val="32"/>
        </w:rPr>
      </w:pPr>
      <w:r>
        <w:rPr>
          <w:rFonts w:ascii="Times New Roman" w:hAnsi="Times New Roman" w:cs="Times New Roman"/>
          <w:color w:val="000000"/>
          <w:sz w:val="28"/>
          <w:szCs w:val="32"/>
        </w:rPr>
        <w:t>积极推进东南汽车股改完成，</w:t>
      </w:r>
      <w:r>
        <w:rPr>
          <w:rFonts w:hint="eastAsia" w:ascii="Times New Roman" w:hAnsi="Times New Roman" w:cs="Times New Roman"/>
          <w:color w:val="000000"/>
          <w:sz w:val="28"/>
          <w:szCs w:val="32"/>
        </w:rPr>
        <w:t>优化公司股权结构，通过引进战略合作伙伴，推动企业可持续发展。鼓励企业</w:t>
      </w:r>
      <w:r>
        <w:rPr>
          <w:rFonts w:ascii="Times New Roman" w:hAnsi="Times New Roman" w:cs="Times New Roman"/>
          <w:color w:val="000000"/>
          <w:sz w:val="28"/>
          <w:szCs w:val="32"/>
        </w:rPr>
        <w:t>加速燃油车新车型发布</w:t>
      </w:r>
      <w:r>
        <w:rPr>
          <w:rFonts w:hint="eastAsia" w:ascii="Times New Roman" w:hAnsi="Times New Roman" w:cs="Times New Roman"/>
          <w:color w:val="000000"/>
          <w:sz w:val="28"/>
          <w:szCs w:val="32"/>
        </w:rPr>
        <w:t>，加快纯电车研发，加大自主品牌开发力度，建立自主创新体系和自主品牌产品体系。建议政府采取“一企一议”的扶持政策，通过政府采购、专项补助等形式，对东南汽车产品推广、新能源汽车转型升级等提供政策支持。</w:t>
      </w:r>
    </w:p>
    <w:p>
      <w:pPr>
        <w:adjustRightInd w:val="0"/>
        <w:snapToGrid w:val="0"/>
        <w:spacing w:before="156" w:beforeLines="50" w:after="156" w:afterLines="50" w:line="360" w:lineRule="auto"/>
        <w:ind w:firstLine="560" w:firstLineChars="200"/>
        <w:rPr>
          <w:rFonts w:ascii="Times New Roman" w:hAnsi="Times New Roman" w:cs="Times New Roman"/>
          <w:color w:val="000000"/>
          <w:sz w:val="28"/>
          <w:szCs w:val="32"/>
        </w:rPr>
      </w:pPr>
      <w:r>
        <w:rPr>
          <w:rFonts w:ascii="Times New Roman" w:hAnsi="Times New Roman" w:cs="Times New Roman"/>
          <w:color w:val="000000"/>
          <w:sz w:val="28"/>
          <w:szCs w:val="32"/>
        </w:rPr>
        <w:t>支持福建奔驰扩大产能，积极对接奔驰总公司落地更多车型生产在闽侯</w:t>
      </w:r>
      <w:r>
        <w:rPr>
          <w:rFonts w:hint="eastAsia" w:ascii="Times New Roman" w:hAnsi="Times New Roman" w:cs="Times New Roman"/>
          <w:color w:val="000000"/>
          <w:sz w:val="28"/>
          <w:szCs w:val="32"/>
        </w:rPr>
        <w:t>青口汽车工业园区</w:t>
      </w:r>
      <w:r>
        <w:rPr>
          <w:rFonts w:ascii="Times New Roman" w:hAnsi="Times New Roman" w:cs="Times New Roman"/>
          <w:color w:val="000000"/>
          <w:sz w:val="28"/>
          <w:szCs w:val="32"/>
        </w:rPr>
        <w:t>。</w:t>
      </w:r>
      <w:r>
        <w:rPr>
          <w:rFonts w:hint="eastAsia" w:ascii="Times New Roman" w:hAnsi="Times New Roman" w:cs="Times New Roman"/>
          <w:color w:val="000000"/>
          <w:sz w:val="28"/>
          <w:szCs w:val="32"/>
        </w:rPr>
        <w:t>通过奔驰轿车渠道优势，挖掘现有产品线细分市场潜力，引入换代车型，同时加快奔驰汽车二期项目建设，争取早日达成年产10万辆目标。</w:t>
      </w:r>
    </w:p>
    <w:p>
      <w:pPr>
        <w:adjustRightInd w:val="0"/>
        <w:snapToGrid w:val="0"/>
        <w:spacing w:before="156" w:beforeLines="50" w:after="156" w:afterLines="50" w:line="360" w:lineRule="auto"/>
        <w:ind w:firstLine="560" w:firstLineChars="200"/>
        <w:rPr>
          <w:rFonts w:ascii="Times New Roman" w:hAnsi="Times New Roman" w:cs="Times New Roman"/>
          <w:color w:val="000000"/>
          <w:sz w:val="28"/>
          <w:szCs w:val="32"/>
        </w:rPr>
      </w:pPr>
      <w:r>
        <w:rPr>
          <w:rFonts w:ascii="Times New Roman" w:hAnsi="Times New Roman" w:cs="Times New Roman"/>
          <w:color w:val="000000"/>
          <w:sz w:val="28"/>
          <w:szCs w:val="32"/>
        </w:rPr>
        <w:t>加速新能源汽车整车生产项目落地，重点发展批量生产高性价比、安全可靠、经济环保、维护方便的纯电动乘用车、厢式运输车、轻型客车、专用车等新能源汽车整车产品。</w:t>
      </w:r>
      <w:r>
        <w:rPr>
          <w:rFonts w:hint="eastAsia" w:ascii="Times New Roman" w:hAnsi="Times New Roman" w:cs="Times New Roman"/>
          <w:color w:val="000000"/>
          <w:sz w:val="28"/>
          <w:szCs w:val="32"/>
        </w:rPr>
        <w:t>加快建设新能源乘用车整车、电池管理、驱动电控系统等研发中心；围绕电池、电机、电控等关键零部件系统，加大周边关联企业合作对接，鼓励现有汽车配件厂商对接新能源需求，实现企业就近配套部署。</w:t>
      </w:r>
    </w:p>
    <w:p>
      <w:pPr>
        <w:adjustRightInd w:val="0"/>
        <w:snapToGrid w:val="0"/>
        <w:spacing w:before="156" w:beforeLines="50" w:after="156" w:afterLines="50" w:line="360" w:lineRule="auto"/>
        <w:ind w:firstLine="562" w:firstLineChars="200"/>
        <w:rPr>
          <w:rFonts w:ascii="Times New Roman" w:hAnsi="Times New Roman" w:cs="Times New Roman"/>
          <w:color w:val="000000"/>
          <w:sz w:val="28"/>
          <w:szCs w:val="32"/>
        </w:rPr>
      </w:pPr>
      <w:r>
        <w:rPr>
          <w:rFonts w:ascii="Times New Roman" w:hAnsi="Times New Roman" w:cs="Times New Roman"/>
          <w:b/>
          <w:color w:val="000000"/>
          <w:sz w:val="28"/>
          <w:szCs w:val="32"/>
        </w:rPr>
        <w:t>——创新布局新能源汽车产业链，形成较为完整的研发、制造、应用、服务体系。</w:t>
      </w:r>
      <w:r>
        <w:rPr>
          <w:rFonts w:ascii="Times New Roman" w:hAnsi="Times New Roman" w:cs="Times New Roman"/>
          <w:color w:val="000000"/>
          <w:sz w:val="28"/>
          <w:szCs w:val="32"/>
        </w:rPr>
        <w:t>积极推进新能源汽车企业推出纯电乘用车明星车型，掌握和运用汽车信息化、智能化核心技术，推动自主品牌新能源厂商与国内外领先水平接轨；重点依托</w:t>
      </w:r>
      <w:r>
        <w:rPr>
          <w:rFonts w:hint="eastAsia" w:ascii="Times New Roman" w:hAnsi="Times New Roman" w:cs="Times New Roman"/>
          <w:color w:val="000000"/>
          <w:sz w:val="28"/>
          <w:szCs w:val="32"/>
        </w:rPr>
        <w:t>青口汽车工业园区</w:t>
      </w:r>
      <w:r>
        <w:rPr>
          <w:rFonts w:ascii="Times New Roman" w:hAnsi="Times New Roman" w:cs="Times New Roman"/>
          <w:color w:val="000000"/>
          <w:sz w:val="28"/>
          <w:szCs w:val="32"/>
        </w:rPr>
        <w:t>现有配套基础，积极引进车用动力电池系统、驱动电机系统、关键核心材料等关键零部件企业，补齐新能源汽车产业链条；支持祥鑫股份、麦格纳、六和机械等配套企业加快进行新能源汽车配件研发，加快在驱动电机、轻量化材料等领域技术研发；</w:t>
      </w:r>
      <w:r>
        <w:rPr>
          <w:rFonts w:hint="eastAsia" w:ascii="Times New Roman" w:hAnsi="Times New Roman" w:cs="Times New Roman"/>
          <w:color w:val="000000"/>
          <w:sz w:val="28"/>
          <w:szCs w:val="32"/>
        </w:rPr>
        <w:t>加大创新研发力度，围绕智能互联、自动驾驶、电力驱动、共享出行四大领域，深化智能网联汽车技术开发与产品研发，突破关键核心器件和关键技术；支持车联网技术研发，</w:t>
      </w:r>
      <w:r>
        <w:rPr>
          <w:rFonts w:ascii="Times New Roman" w:hAnsi="Times New Roman" w:cs="Times New Roman"/>
          <w:color w:val="000000"/>
          <w:sz w:val="28"/>
          <w:szCs w:val="32"/>
        </w:rPr>
        <w:t>建立</w:t>
      </w:r>
      <w:r>
        <w:rPr>
          <w:rFonts w:hint="eastAsia" w:ascii="Times New Roman" w:hAnsi="Times New Roman" w:cs="Times New Roman"/>
          <w:color w:val="000000"/>
          <w:sz w:val="28"/>
          <w:szCs w:val="32"/>
        </w:rPr>
        <w:t>产业</w:t>
      </w:r>
      <w:r>
        <w:rPr>
          <w:rFonts w:ascii="Times New Roman" w:hAnsi="Times New Roman" w:cs="Times New Roman"/>
          <w:color w:val="000000"/>
          <w:sz w:val="28"/>
          <w:szCs w:val="32"/>
        </w:rPr>
        <w:t>创新平台</w:t>
      </w:r>
      <w:r>
        <w:rPr>
          <w:rFonts w:hint="eastAsia" w:ascii="Times New Roman" w:hAnsi="Times New Roman" w:cs="Times New Roman"/>
          <w:color w:val="000000"/>
          <w:sz w:val="28"/>
          <w:szCs w:val="32"/>
        </w:rPr>
        <w:t>和测试平台</w:t>
      </w:r>
      <w:r>
        <w:rPr>
          <w:rFonts w:ascii="Times New Roman" w:hAnsi="Times New Roman" w:cs="Times New Roman"/>
          <w:color w:val="000000"/>
          <w:sz w:val="28"/>
          <w:szCs w:val="32"/>
        </w:rPr>
        <w:t>，充分发挥</w:t>
      </w:r>
      <w:r>
        <w:rPr>
          <w:rFonts w:hint="eastAsia" w:ascii="Times New Roman" w:hAnsi="Times New Roman" w:cs="Times New Roman"/>
          <w:color w:val="000000"/>
          <w:sz w:val="28"/>
          <w:szCs w:val="32"/>
        </w:rPr>
        <w:t>青口汽车工业园区</w:t>
      </w:r>
      <w:r>
        <w:rPr>
          <w:rFonts w:ascii="Times New Roman" w:hAnsi="Times New Roman" w:cs="Times New Roman"/>
          <w:color w:val="000000"/>
          <w:sz w:val="28"/>
          <w:szCs w:val="32"/>
        </w:rPr>
        <w:t>现有产业优势，推进与中科院、</w:t>
      </w:r>
      <w:r>
        <w:rPr>
          <w:rFonts w:hint="eastAsia" w:ascii="Times New Roman" w:hAnsi="Times New Roman" w:cs="Times New Roman"/>
          <w:color w:val="000000"/>
          <w:sz w:val="28"/>
          <w:szCs w:val="32"/>
        </w:rPr>
        <w:t>福州</w:t>
      </w:r>
      <w:r>
        <w:rPr>
          <w:rFonts w:ascii="Times New Roman" w:hAnsi="Times New Roman" w:cs="Times New Roman"/>
          <w:color w:val="000000"/>
          <w:sz w:val="28"/>
          <w:szCs w:val="32"/>
        </w:rPr>
        <w:t>大学等院校所合作，建成1-2个共性技术研发服务平台，建成省级新能源汽车产业基地。</w:t>
      </w:r>
    </w:p>
    <w:p>
      <w:pPr>
        <w:adjustRightInd w:val="0"/>
        <w:snapToGrid w:val="0"/>
        <w:spacing w:before="156" w:beforeLines="50" w:after="156" w:afterLines="50" w:line="360" w:lineRule="auto"/>
        <w:ind w:firstLine="562" w:firstLineChars="200"/>
        <w:rPr>
          <w:rFonts w:ascii="Times New Roman" w:hAnsi="Times New Roman" w:cs="Times New Roman"/>
          <w:color w:val="000000"/>
          <w:sz w:val="28"/>
          <w:szCs w:val="32"/>
        </w:rPr>
      </w:pPr>
      <w:r>
        <w:rPr>
          <w:rFonts w:ascii="Times New Roman" w:hAnsi="Times New Roman" w:cs="Times New Roman"/>
          <w:b/>
          <w:color w:val="000000"/>
          <w:sz w:val="28"/>
          <w:szCs w:val="32"/>
        </w:rPr>
        <w:t>——推动零部件企业转型升级，提升在关键技术和核心领域中高端环节竞争力。</w:t>
      </w:r>
      <w:r>
        <w:rPr>
          <w:rFonts w:hint="eastAsia" w:ascii="Times New Roman" w:hAnsi="Times New Roman" w:cs="Times New Roman"/>
          <w:color w:val="000000"/>
          <w:sz w:val="28"/>
          <w:szCs w:val="32"/>
        </w:rPr>
        <w:t>引导现有汽车零部件企业加强自主创新，建立设计、研发、制造、销售、物流及回收利用等全环节管理的智能制造生产体系，加快推动传统制造向智能制造方向发展。</w:t>
      </w:r>
    </w:p>
    <w:p>
      <w:pPr>
        <w:adjustRightInd w:val="0"/>
        <w:snapToGrid w:val="0"/>
        <w:spacing w:before="156" w:beforeLines="50" w:after="156" w:afterLines="50" w:line="360" w:lineRule="auto"/>
        <w:ind w:firstLine="560" w:firstLineChars="200"/>
        <w:rPr>
          <w:rFonts w:ascii="Times New Roman" w:hAnsi="Times New Roman" w:cs="Times New Roman"/>
          <w:color w:val="000000"/>
          <w:sz w:val="28"/>
          <w:szCs w:val="32"/>
        </w:rPr>
      </w:pPr>
      <w:r>
        <w:rPr>
          <w:rFonts w:hint="eastAsia" w:ascii="Times New Roman" w:hAnsi="Times New Roman" w:cs="Times New Roman"/>
          <w:color w:val="000000"/>
          <w:sz w:val="28"/>
          <w:szCs w:val="32"/>
        </w:rPr>
        <w:t>依托福建奔驰、东南汽车等整车品牌，鼓励本地零部件企业对接宁德上汽基地项目，拓展市场范围。</w:t>
      </w:r>
      <w:r>
        <w:rPr>
          <w:rFonts w:ascii="Times New Roman" w:hAnsi="Times New Roman" w:cs="Times New Roman"/>
          <w:color w:val="000000"/>
          <w:sz w:val="28"/>
          <w:szCs w:val="32"/>
        </w:rPr>
        <w:t>围绕提高系统化开发、模块化制造、集成化供货能力，打造以动力总成、电子电控等为主的汽车关键部件产品体系，争取与国际、国内知名整车企业结成战略联盟；大力发展自主品牌和提升本地配套水平，支持发展前景良好的自主品牌产品发展，培养世界级的供应商，融入全球配套；鼓励核心技术研发，提高产品集成化、模块化供应能力，培育一批“专精特新”中小企业，打造一批“单项冠军”</w:t>
      </w:r>
      <w:r>
        <w:rPr>
          <w:rFonts w:hint="eastAsia" w:ascii="Times New Roman" w:hAnsi="Times New Roman" w:cs="Times New Roman"/>
          <w:color w:val="000000"/>
          <w:sz w:val="28"/>
          <w:szCs w:val="32"/>
        </w:rPr>
        <w:t>。</w:t>
      </w:r>
    </w:p>
    <w:p>
      <w:pPr>
        <w:adjustRightInd w:val="0"/>
        <w:snapToGrid w:val="0"/>
        <w:spacing w:before="156" w:beforeLines="50" w:after="156" w:afterLines="50" w:line="360" w:lineRule="auto"/>
        <w:ind w:firstLine="560" w:firstLineChars="200"/>
        <w:rPr>
          <w:rFonts w:ascii="Times New Roman" w:hAnsi="Times New Roman" w:cs="Times New Roman"/>
          <w:b/>
          <w:color w:val="000000"/>
          <w:sz w:val="28"/>
          <w:szCs w:val="32"/>
        </w:rPr>
      </w:pPr>
      <w:r>
        <w:rPr>
          <w:rFonts w:ascii="Times New Roman" w:hAnsi="Times New Roman" w:cs="Times New Roman"/>
          <w:color w:val="000000"/>
          <w:sz w:val="28"/>
          <w:szCs w:val="32"/>
        </w:rPr>
        <w:t>抓住产业兼并重组机遇，招引一批重大项目</w:t>
      </w:r>
      <w:r>
        <w:rPr>
          <w:rFonts w:hint="eastAsia" w:ascii="Times New Roman" w:hAnsi="Times New Roman" w:cs="Times New Roman"/>
          <w:color w:val="000000"/>
          <w:sz w:val="28"/>
          <w:szCs w:val="32"/>
        </w:rPr>
        <w:t>或汽车零部件企业</w:t>
      </w:r>
      <w:r>
        <w:rPr>
          <w:rFonts w:ascii="Times New Roman" w:hAnsi="Times New Roman" w:cs="Times New Roman"/>
          <w:color w:val="000000"/>
          <w:sz w:val="28"/>
          <w:szCs w:val="32"/>
        </w:rPr>
        <w:t>，争取和推进发动机、变速箱及汽车信息系统等核心部件生产商到青口投资设厂；</w:t>
      </w:r>
      <w:r>
        <w:rPr>
          <w:rFonts w:hint="eastAsia" w:ascii="Times New Roman" w:hAnsi="Times New Roman" w:cs="Times New Roman"/>
          <w:color w:val="000000"/>
          <w:sz w:val="28"/>
          <w:szCs w:val="32"/>
        </w:rPr>
        <w:t>依托东台高端新材料产业园，引进汽车轻量化、新能源关键材料、智能驾驶基础材料等高端、高附加值配套龙头企业，加强与国内著名高校材料学院的产学研合作，共建研发中心，培育新型材料产业基地，打造新型材料知名品牌。</w:t>
      </w:r>
    </w:p>
    <w:p>
      <w:pPr>
        <w:keepNext/>
        <w:keepLines/>
        <w:spacing w:before="120" w:after="120" w:line="360" w:lineRule="auto"/>
        <w:jc w:val="left"/>
        <w:outlineLvl w:val="3"/>
        <w:rPr>
          <w:rFonts w:ascii="Times New Roman" w:hAnsi="Times New Roman" w:cs="Times New Roman"/>
          <w:b/>
          <w:bCs/>
          <w:sz w:val="28"/>
          <w:szCs w:val="28"/>
        </w:rPr>
      </w:pPr>
      <w:bookmarkStart w:id="33" w:name="_Toc91669978"/>
      <w:r>
        <w:rPr>
          <w:rFonts w:ascii="Times New Roman" w:hAnsi="Times New Roman" w:cs="Times New Roman"/>
          <w:b/>
          <w:bCs/>
          <w:sz w:val="28"/>
          <w:szCs w:val="28"/>
        </w:rPr>
        <w:t>2、装备制造业</w:t>
      </w:r>
      <w:bookmarkEnd w:id="33"/>
    </w:p>
    <w:p>
      <w:pPr>
        <w:adjustRightInd w:val="0"/>
        <w:snapToGrid w:val="0"/>
        <w:spacing w:line="360" w:lineRule="auto"/>
        <w:ind w:firstLine="562" w:firstLineChars="200"/>
        <w:rPr>
          <w:rFonts w:ascii="Times New Roman" w:hAnsi="Times New Roman" w:cs="Times New Roman"/>
          <w:color w:val="000000"/>
          <w:sz w:val="28"/>
          <w:szCs w:val="32"/>
        </w:rPr>
      </w:pPr>
      <w:r>
        <w:rPr>
          <w:rFonts w:ascii="Times New Roman" w:hAnsi="Times New Roman" w:cs="Times New Roman"/>
          <w:b/>
          <w:color w:val="000000"/>
          <w:sz w:val="28"/>
          <w:szCs w:val="32"/>
        </w:rPr>
        <w:t>（1）总体发展思路</w:t>
      </w:r>
    </w:p>
    <w:p>
      <w:pPr>
        <w:adjustRightInd w:val="0"/>
        <w:snapToGrid w:val="0"/>
        <w:spacing w:before="156" w:beforeLines="50" w:after="156" w:afterLines="50" w:line="360" w:lineRule="auto"/>
        <w:ind w:firstLine="560" w:firstLineChars="200"/>
        <w:rPr>
          <w:rFonts w:ascii="Times New Roman" w:hAnsi="Times New Roman" w:cs="Times New Roman"/>
          <w:color w:val="000000"/>
          <w:sz w:val="28"/>
          <w:szCs w:val="32"/>
        </w:rPr>
      </w:pPr>
      <w:r>
        <w:rPr>
          <w:rFonts w:ascii="Times New Roman" w:hAnsi="Times New Roman" w:cs="Times New Roman"/>
          <w:color w:val="000000"/>
          <w:sz w:val="28"/>
          <w:szCs w:val="32"/>
        </w:rPr>
        <w:t>依托福特科、海创等龙头企业，做大做强光电产业</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大力推动精密光学元器件的研发与产品迭代，同时吸引配套企业入驻</w:t>
      </w:r>
      <w:r>
        <w:rPr>
          <w:rFonts w:hint="eastAsia" w:ascii="Times New Roman" w:hAnsi="Times New Roman" w:cs="Times New Roman"/>
          <w:color w:val="000000"/>
          <w:sz w:val="28"/>
          <w:szCs w:val="32"/>
        </w:rPr>
        <w:t>，蓄力</w:t>
      </w:r>
      <w:r>
        <w:rPr>
          <w:rFonts w:ascii="Times New Roman" w:hAnsi="Times New Roman" w:cs="Times New Roman"/>
          <w:color w:val="000000"/>
          <w:sz w:val="28"/>
          <w:szCs w:val="32"/>
        </w:rPr>
        <w:t>打造一批世界级光电供应商。加速推进传统机电设备的研发和技术升级，加强本地机械设备与本地相关产业链的对接，提高成套设备自给配套率。力争到</w:t>
      </w:r>
      <w:r>
        <w:rPr>
          <w:rFonts w:hint="eastAsia" w:ascii="Times New Roman" w:hAnsi="Times New Roman" w:cs="Times New Roman"/>
          <w:color w:val="000000"/>
          <w:sz w:val="28"/>
          <w:szCs w:val="32"/>
        </w:rPr>
        <w:t>2</w:t>
      </w:r>
      <w:r>
        <w:rPr>
          <w:rFonts w:ascii="Times New Roman" w:hAnsi="Times New Roman" w:cs="Times New Roman"/>
          <w:color w:val="000000"/>
          <w:sz w:val="28"/>
          <w:szCs w:val="32"/>
        </w:rPr>
        <w:t>025年</w:t>
      </w:r>
      <w:r>
        <w:rPr>
          <w:rFonts w:hint="eastAsia" w:ascii="Times New Roman" w:hAnsi="Times New Roman" w:cs="Times New Roman"/>
          <w:color w:val="000000"/>
          <w:sz w:val="28"/>
          <w:szCs w:val="32"/>
        </w:rPr>
        <w:t>，全县</w:t>
      </w:r>
      <w:r>
        <w:rPr>
          <w:rFonts w:ascii="Times New Roman" w:hAnsi="Times New Roman" w:cs="Times New Roman"/>
          <w:color w:val="000000"/>
          <w:sz w:val="28"/>
          <w:szCs w:val="32"/>
        </w:rPr>
        <w:t>装备制造业产值达到</w:t>
      </w:r>
      <w:r>
        <w:rPr>
          <w:rFonts w:hint="eastAsia" w:ascii="Times New Roman" w:hAnsi="Times New Roman" w:cs="Times New Roman"/>
          <w:color w:val="000000"/>
          <w:sz w:val="28"/>
          <w:szCs w:val="32"/>
        </w:rPr>
        <w:t>4</w:t>
      </w:r>
      <w:r>
        <w:rPr>
          <w:rFonts w:ascii="Times New Roman" w:hAnsi="Times New Roman" w:cs="Times New Roman"/>
          <w:color w:val="000000"/>
          <w:sz w:val="28"/>
          <w:szCs w:val="32"/>
        </w:rPr>
        <w:t>00亿元以上</w:t>
      </w:r>
      <w:r>
        <w:rPr>
          <w:rFonts w:hint="eastAsia" w:ascii="Times New Roman" w:hAnsi="Times New Roman" w:cs="Times New Roman"/>
          <w:color w:val="000000"/>
          <w:sz w:val="28"/>
          <w:szCs w:val="32"/>
        </w:rPr>
        <w:t>。</w:t>
      </w:r>
    </w:p>
    <w:p>
      <w:pPr>
        <w:adjustRightInd w:val="0"/>
        <w:snapToGrid w:val="0"/>
        <w:spacing w:line="360" w:lineRule="auto"/>
        <w:ind w:firstLine="562" w:firstLineChars="200"/>
        <w:rPr>
          <w:rFonts w:ascii="Times New Roman" w:hAnsi="Times New Roman" w:cs="Times New Roman"/>
          <w:b/>
          <w:color w:val="000000"/>
          <w:sz w:val="28"/>
          <w:szCs w:val="32"/>
        </w:rPr>
      </w:pPr>
      <w:r>
        <w:rPr>
          <w:rFonts w:ascii="Times New Roman" w:hAnsi="Times New Roman" w:cs="Times New Roman"/>
          <w:b/>
          <w:color w:val="000000"/>
          <w:sz w:val="28"/>
          <w:szCs w:val="32"/>
        </w:rPr>
        <w:t>（2）发展内容</w:t>
      </w:r>
    </w:p>
    <w:p>
      <w:pPr>
        <w:adjustRightInd w:val="0"/>
        <w:snapToGrid w:val="0"/>
        <w:spacing w:before="156" w:beforeLines="50" w:after="156" w:afterLines="50" w:line="360" w:lineRule="auto"/>
        <w:ind w:firstLine="562" w:firstLineChars="200"/>
        <w:rPr>
          <w:rFonts w:ascii="Times New Roman" w:hAnsi="Times New Roman" w:cs="Times New Roman"/>
          <w:color w:val="000000"/>
          <w:sz w:val="28"/>
          <w:szCs w:val="32"/>
        </w:rPr>
      </w:pPr>
      <w:r>
        <w:rPr>
          <w:rFonts w:ascii="Times New Roman" w:hAnsi="Times New Roman" w:cs="Times New Roman"/>
          <w:b/>
          <w:color w:val="000000"/>
          <w:sz w:val="28"/>
          <w:szCs w:val="32"/>
        </w:rPr>
        <w:t>——做大做强光电产业。</w:t>
      </w:r>
      <w:r>
        <w:rPr>
          <w:rFonts w:ascii="Times New Roman" w:hAnsi="Times New Roman" w:cs="Times New Roman"/>
          <w:color w:val="000000"/>
          <w:sz w:val="28"/>
          <w:szCs w:val="32"/>
        </w:rPr>
        <w:t>借力国家战略性新兴产业发展浪潮，发挥中科院海西研究院的研发优势</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以福特科、海创、晶元等业内龙头企业为支撑，大力发展球面、平面、晶体等光学元器件</w:t>
      </w:r>
      <w:r>
        <w:rPr>
          <w:rFonts w:ascii="Times New Roman" w:hAnsi="Times New Roman" w:cs="Times New Roman"/>
          <w:sz w:val="28"/>
          <w:szCs w:val="32"/>
        </w:rPr>
        <w:t>及激</w:t>
      </w:r>
      <w:r>
        <w:rPr>
          <w:rFonts w:ascii="Times New Roman" w:hAnsi="Times New Roman" w:cs="Times New Roman"/>
          <w:color w:val="000000"/>
          <w:sz w:val="28"/>
          <w:szCs w:val="32"/>
        </w:rPr>
        <w:t>光模组、镜头模组等光学模组，持续提高产品在精密仪器、医疗设备、自动化设备、安防监控、道路监控等产业链下游领域的市场占有率，蓄力培育世界级供应商。依托</w:t>
      </w:r>
      <w:r>
        <w:rPr>
          <w:rFonts w:hint="eastAsia" w:ascii="Times New Roman" w:hAnsi="Times New Roman" w:cs="Times New Roman"/>
          <w:color w:val="000000"/>
          <w:sz w:val="28"/>
          <w:szCs w:val="32"/>
        </w:rPr>
        <w:t>永德吉</w:t>
      </w:r>
      <w:r>
        <w:rPr>
          <w:rFonts w:ascii="Times New Roman" w:hAnsi="Times New Roman" w:cs="Times New Roman"/>
          <w:color w:val="000000"/>
          <w:sz w:val="28"/>
          <w:szCs w:val="32"/>
        </w:rPr>
        <w:t>、捷登达等企业，着力推动LED外延片、LED芯片、LED灯、LED显示屏等产品研发和迭代升级。加强与浙江大学、清华大学、华中科技大学等领域内强校进行产学研合作，持续提升闽侯光电创新实力。支持本地企业加大自主创新力度，持续吸引光电产业链上下游配套企业，推进落实强主链、延短链、谋新链工作，快速构建光电产业集群。</w:t>
      </w:r>
    </w:p>
    <w:p>
      <w:pPr>
        <w:adjustRightInd w:val="0"/>
        <w:snapToGrid w:val="0"/>
        <w:spacing w:before="156" w:beforeLines="50" w:after="156" w:afterLines="50" w:line="360" w:lineRule="auto"/>
        <w:ind w:firstLine="562" w:firstLineChars="200"/>
        <w:rPr>
          <w:rFonts w:ascii="Times New Roman" w:hAnsi="Times New Roman" w:cs="Times New Roman"/>
          <w:color w:val="000000"/>
          <w:sz w:val="28"/>
          <w:szCs w:val="32"/>
        </w:rPr>
      </w:pPr>
      <w:r>
        <w:rPr>
          <w:rFonts w:ascii="Times New Roman" w:hAnsi="Times New Roman" w:cs="Times New Roman"/>
          <w:b/>
          <w:color w:val="000000"/>
          <w:sz w:val="28"/>
          <w:szCs w:val="32"/>
        </w:rPr>
        <w:t>——加速升级机械制造业。</w:t>
      </w:r>
      <w:r>
        <w:rPr>
          <w:rFonts w:ascii="Times New Roman" w:hAnsi="Times New Roman" w:cs="Times New Roman"/>
          <w:color w:val="000000"/>
          <w:sz w:val="28"/>
          <w:szCs w:val="32"/>
        </w:rPr>
        <w:t>依托瑞亿</w:t>
      </w:r>
      <w:r>
        <w:rPr>
          <w:rFonts w:hint="eastAsia" w:ascii="Times New Roman" w:hAnsi="Times New Roman" w:cs="Times New Roman"/>
          <w:color w:val="000000"/>
          <w:sz w:val="28"/>
          <w:szCs w:val="32"/>
        </w:rPr>
        <w:t>、合盈等</w:t>
      </w:r>
      <w:r>
        <w:rPr>
          <w:rFonts w:ascii="Times New Roman" w:hAnsi="Times New Roman" w:cs="Times New Roman"/>
          <w:color w:val="000000"/>
          <w:sz w:val="28"/>
          <w:szCs w:val="32"/>
        </w:rPr>
        <w:t>企业，重点发展高效电机</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特种电机</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新能源发电设备</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输配电设备</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切割机床</w:t>
      </w:r>
      <w:r>
        <w:rPr>
          <w:rFonts w:hint="eastAsia" w:ascii="Times New Roman" w:hAnsi="Times New Roman" w:cs="Times New Roman"/>
          <w:color w:val="000000"/>
          <w:sz w:val="28"/>
          <w:szCs w:val="32"/>
        </w:rPr>
        <w:t>等。</w:t>
      </w:r>
      <w:r>
        <w:rPr>
          <w:rFonts w:ascii="Times New Roman" w:hAnsi="Times New Roman" w:cs="Times New Roman"/>
          <w:color w:val="000000"/>
          <w:sz w:val="28"/>
          <w:szCs w:val="32"/>
        </w:rPr>
        <w:t>加快传统机械制造业向智能化</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高端化转型</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推动互联网</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大数据</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人工智能等新一代信息技术与传统机械制造业的深度融合</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加强对机械制造产业的技术</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工艺</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设备升级更新改造</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提升生产线的数字化</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智能化水平</w:t>
      </w:r>
      <w:r>
        <w:rPr>
          <w:rFonts w:hint="eastAsia" w:ascii="Times New Roman" w:hAnsi="Times New Roman" w:cs="Times New Roman"/>
          <w:color w:val="000000"/>
          <w:sz w:val="28"/>
          <w:szCs w:val="32"/>
        </w:rPr>
        <w:t>，缩短产品、技术迭代周期，提高企业产能和定制化自由度，丰富产品品类。</w:t>
      </w:r>
      <w:r>
        <w:rPr>
          <w:rFonts w:ascii="Times New Roman" w:hAnsi="Times New Roman" w:cs="Times New Roman"/>
          <w:color w:val="000000"/>
          <w:sz w:val="28"/>
          <w:szCs w:val="32"/>
        </w:rPr>
        <w:t>加强电机、数控机床、食品机械等优势产业的转移和对接，鼓励成套设备制造及相关产业链发展</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提高成套设备自给配套率</w:t>
      </w:r>
      <w:r>
        <w:rPr>
          <w:rFonts w:hint="eastAsia" w:ascii="Times New Roman" w:hAnsi="Times New Roman" w:cs="Times New Roman"/>
          <w:color w:val="000000"/>
          <w:sz w:val="28"/>
          <w:szCs w:val="32"/>
        </w:rPr>
        <w:t>。</w:t>
      </w:r>
    </w:p>
    <w:p>
      <w:pPr>
        <w:keepNext/>
        <w:keepLines/>
        <w:spacing w:before="120" w:after="120" w:line="360" w:lineRule="auto"/>
        <w:jc w:val="left"/>
        <w:outlineLvl w:val="2"/>
        <w:rPr>
          <w:rFonts w:ascii="Times New Roman" w:hAnsi="Times New Roman" w:cs="Times New Roman"/>
          <w:b/>
          <w:bCs/>
          <w:sz w:val="30"/>
          <w:szCs w:val="32"/>
        </w:rPr>
      </w:pPr>
      <w:bookmarkStart w:id="34" w:name="_Toc91669979"/>
      <w:r>
        <w:rPr>
          <w:rFonts w:ascii="Times New Roman" w:hAnsi="Times New Roman" w:cs="Times New Roman"/>
          <w:b/>
          <w:bCs/>
          <w:sz w:val="30"/>
          <w:szCs w:val="32"/>
        </w:rPr>
        <w:t>（二）发挥资源优势，推动传统优势产业高质量发展</w:t>
      </w:r>
      <w:bookmarkEnd w:id="34"/>
    </w:p>
    <w:p>
      <w:pPr>
        <w:keepNext/>
        <w:keepLines/>
        <w:spacing w:before="120" w:after="120" w:line="360" w:lineRule="auto"/>
        <w:jc w:val="left"/>
        <w:outlineLvl w:val="3"/>
        <w:rPr>
          <w:rFonts w:ascii="Times New Roman" w:hAnsi="Times New Roman" w:cs="Times New Roman"/>
          <w:b/>
          <w:bCs/>
          <w:sz w:val="28"/>
          <w:szCs w:val="28"/>
        </w:rPr>
      </w:pPr>
      <w:bookmarkStart w:id="35" w:name="_Toc91669980"/>
      <w:r>
        <w:rPr>
          <w:rFonts w:ascii="Times New Roman" w:hAnsi="Times New Roman" w:cs="Times New Roman"/>
          <w:b/>
          <w:bCs/>
          <w:sz w:val="28"/>
          <w:szCs w:val="28"/>
        </w:rPr>
        <w:t>1、食品饮料加工业</w:t>
      </w:r>
      <w:bookmarkEnd w:id="35"/>
    </w:p>
    <w:p>
      <w:pPr>
        <w:adjustRightInd w:val="0"/>
        <w:snapToGrid w:val="0"/>
        <w:spacing w:line="360" w:lineRule="auto"/>
        <w:ind w:firstLine="562" w:firstLineChars="200"/>
        <w:rPr>
          <w:rFonts w:ascii="Times New Roman" w:hAnsi="Times New Roman"/>
          <w:b/>
          <w:color w:val="000000"/>
          <w:sz w:val="28"/>
          <w:szCs w:val="32"/>
        </w:rPr>
      </w:pPr>
      <w:r>
        <w:rPr>
          <w:rFonts w:hint="eastAsia" w:ascii="Times New Roman" w:hAnsi="Times New Roman"/>
          <w:b/>
          <w:color w:val="000000"/>
          <w:sz w:val="28"/>
          <w:szCs w:val="32"/>
        </w:rPr>
        <w:t>（1）总体发展思路</w:t>
      </w:r>
    </w:p>
    <w:p>
      <w:pPr>
        <w:adjustRightInd w:val="0"/>
        <w:snapToGrid w:val="0"/>
        <w:spacing w:before="156" w:beforeLines="50" w:after="156" w:afterLines="50" w:line="360" w:lineRule="auto"/>
        <w:ind w:firstLine="560" w:firstLineChars="200"/>
        <w:rPr>
          <w:rFonts w:ascii="Times New Roman" w:hAnsi="Times New Roman"/>
          <w:color w:val="000000"/>
          <w:sz w:val="28"/>
          <w:szCs w:val="32"/>
        </w:rPr>
      </w:pPr>
      <w:r>
        <w:rPr>
          <w:rFonts w:hint="eastAsia" w:ascii="Times New Roman" w:hAnsi="Times New Roman"/>
          <w:color w:val="000000"/>
          <w:sz w:val="28"/>
          <w:szCs w:val="32"/>
        </w:rPr>
        <w:t>按照“重产品、全营销”的思路，充分挖掘闽侯橄榄等农业资源，开发闽侯特色产品。重点研发现代人群生活饮食特点，结合特点开发产品。深度结合现代人的购物特点，开展线上和线下营销相结合的营销模式。力争到2</w:t>
      </w:r>
      <w:r>
        <w:rPr>
          <w:rFonts w:ascii="Times New Roman" w:hAnsi="Times New Roman"/>
          <w:color w:val="000000"/>
          <w:sz w:val="28"/>
          <w:szCs w:val="32"/>
        </w:rPr>
        <w:t>025年</w:t>
      </w:r>
      <w:r>
        <w:rPr>
          <w:rFonts w:hint="eastAsia" w:ascii="Times New Roman" w:hAnsi="Times New Roman"/>
          <w:color w:val="000000"/>
          <w:sz w:val="28"/>
          <w:szCs w:val="32"/>
        </w:rPr>
        <w:t>，</w:t>
      </w:r>
      <w:r>
        <w:rPr>
          <w:rFonts w:ascii="Times New Roman" w:hAnsi="Times New Roman"/>
          <w:color w:val="000000"/>
          <w:sz w:val="28"/>
          <w:szCs w:val="32"/>
        </w:rPr>
        <w:t>食品饮料产业产值达到</w:t>
      </w:r>
      <w:r>
        <w:rPr>
          <w:rFonts w:hint="eastAsia" w:ascii="Times New Roman" w:hAnsi="Times New Roman"/>
          <w:color w:val="000000"/>
          <w:sz w:val="28"/>
          <w:szCs w:val="32"/>
        </w:rPr>
        <w:t>1</w:t>
      </w:r>
      <w:r>
        <w:rPr>
          <w:rFonts w:ascii="Times New Roman" w:hAnsi="Times New Roman"/>
          <w:color w:val="000000"/>
          <w:sz w:val="28"/>
          <w:szCs w:val="32"/>
        </w:rPr>
        <w:t>50亿元以上</w:t>
      </w:r>
      <w:r>
        <w:rPr>
          <w:rFonts w:hint="eastAsia" w:ascii="Times New Roman" w:hAnsi="Times New Roman"/>
          <w:color w:val="000000"/>
          <w:sz w:val="28"/>
          <w:szCs w:val="32"/>
        </w:rPr>
        <w:t>。</w:t>
      </w:r>
    </w:p>
    <w:p>
      <w:pPr>
        <w:adjustRightInd w:val="0"/>
        <w:snapToGrid w:val="0"/>
        <w:spacing w:line="360" w:lineRule="auto"/>
        <w:ind w:firstLine="562" w:firstLineChars="200"/>
        <w:rPr>
          <w:rFonts w:ascii="Times New Roman" w:hAnsi="Times New Roman"/>
          <w:b/>
          <w:color w:val="000000"/>
          <w:sz w:val="28"/>
          <w:szCs w:val="32"/>
        </w:rPr>
      </w:pPr>
      <w:r>
        <w:rPr>
          <w:rFonts w:hint="eastAsia" w:ascii="Times New Roman" w:hAnsi="Times New Roman"/>
          <w:b/>
          <w:color w:val="000000"/>
          <w:sz w:val="28"/>
          <w:szCs w:val="32"/>
        </w:rPr>
        <w:t>（2）发展内容</w:t>
      </w:r>
    </w:p>
    <w:p>
      <w:pPr>
        <w:adjustRightInd w:val="0"/>
        <w:snapToGrid w:val="0"/>
        <w:spacing w:before="156" w:beforeLines="50" w:after="156" w:afterLines="50" w:line="360" w:lineRule="auto"/>
        <w:ind w:firstLine="562" w:firstLineChars="200"/>
        <w:rPr>
          <w:rFonts w:ascii="Times New Roman" w:hAnsi="Times New Roman" w:cs="Times New Roman"/>
          <w:color w:val="000000"/>
          <w:sz w:val="28"/>
          <w:szCs w:val="32"/>
        </w:rPr>
      </w:pPr>
      <w:bookmarkStart w:id="36" w:name="_Toc25913342"/>
      <w:r>
        <w:rPr>
          <w:rFonts w:hint="eastAsia" w:ascii="Times New Roman" w:hAnsi="Times New Roman" w:cs="Times New Roman"/>
          <w:b/>
          <w:bCs/>
          <w:color w:val="000000"/>
          <w:sz w:val="28"/>
          <w:szCs w:val="32"/>
        </w:rPr>
        <w:t>——继续夯实食品深加工环节，重点发展特色产品</w:t>
      </w:r>
      <w:bookmarkEnd w:id="36"/>
      <w:r>
        <w:rPr>
          <w:rFonts w:hint="eastAsia" w:ascii="Times New Roman" w:hAnsi="Times New Roman" w:cs="Times New Roman"/>
          <w:b/>
          <w:bCs/>
          <w:color w:val="000000"/>
          <w:sz w:val="28"/>
          <w:szCs w:val="32"/>
        </w:rPr>
        <w:t>。</w:t>
      </w:r>
      <w:r>
        <w:rPr>
          <w:rFonts w:hint="eastAsia" w:ascii="Times New Roman" w:hAnsi="Times New Roman" w:cs="Times New Roman"/>
          <w:color w:val="000000"/>
          <w:sz w:val="28"/>
          <w:szCs w:val="32"/>
        </w:rPr>
        <w:t>加快闽侯本地农业养殖优势的挖掘和延展，结合现代人对食品安全和食品保健的需求，加强针对橄榄产品的研发和深加工，按照儿童和成年人的不同需求，推出橄榄油、橄榄干、橄榄口味的糖果和糕点等；继续鼓励绣球菌等食用菌类的深加工；积极推动胜基、贝奇、惠源等企业开发糕点、糖果、饮料等产品。</w:t>
      </w:r>
    </w:p>
    <w:p>
      <w:pPr>
        <w:adjustRightInd w:val="0"/>
        <w:snapToGrid w:val="0"/>
        <w:spacing w:before="156" w:beforeLines="50" w:after="156" w:afterLines="50" w:line="360" w:lineRule="auto"/>
        <w:ind w:firstLine="562" w:firstLineChars="200"/>
        <w:rPr>
          <w:rFonts w:ascii="Times New Roman" w:hAnsi="Times New Roman"/>
          <w:color w:val="000000"/>
          <w:sz w:val="28"/>
          <w:szCs w:val="32"/>
          <w:highlight w:val="yellow"/>
        </w:rPr>
      </w:pPr>
      <w:bookmarkStart w:id="37" w:name="_Toc25913343"/>
      <w:r>
        <w:rPr>
          <w:rFonts w:hint="eastAsia" w:ascii="Times New Roman" w:hAnsi="Times New Roman"/>
          <w:b/>
          <w:bCs/>
          <w:color w:val="000000"/>
          <w:sz w:val="28"/>
          <w:szCs w:val="32"/>
        </w:rPr>
        <w:t>——结合快消费时尚，发展健康快捷食品加工</w:t>
      </w:r>
      <w:bookmarkEnd w:id="37"/>
      <w:r>
        <w:rPr>
          <w:rFonts w:hint="eastAsia" w:ascii="Times New Roman" w:hAnsi="Times New Roman"/>
          <w:b/>
          <w:bCs/>
          <w:color w:val="000000"/>
          <w:sz w:val="28"/>
          <w:szCs w:val="32"/>
        </w:rPr>
        <w:t>。</w:t>
      </w:r>
      <w:r>
        <w:rPr>
          <w:rFonts w:hint="eastAsia" w:ascii="Times New Roman" w:hAnsi="Times New Roman"/>
          <w:color w:val="000000"/>
          <w:sz w:val="28"/>
          <w:szCs w:val="32"/>
        </w:rPr>
        <w:t>结合现代人快捷消费的需求，重点针对人民对快捷食品“快捷、健康”两大特点需求，重点开发健康饮料，</w:t>
      </w:r>
      <w:r>
        <w:rPr>
          <w:rFonts w:ascii="Times New Roman" w:hAnsi="Times New Roman"/>
          <w:color w:val="000000"/>
          <w:sz w:val="28"/>
          <w:szCs w:val="32"/>
        </w:rPr>
        <w:t>速冻食品，米、面制品，糕点，面包的制造</w:t>
      </w:r>
      <w:r>
        <w:rPr>
          <w:rFonts w:hint="eastAsia" w:ascii="Times New Roman" w:hAnsi="Times New Roman"/>
          <w:color w:val="000000"/>
          <w:sz w:val="28"/>
          <w:szCs w:val="32"/>
        </w:rPr>
        <w:t>，</w:t>
      </w:r>
      <w:r>
        <w:rPr>
          <w:rFonts w:ascii="Times New Roman" w:hAnsi="Times New Roman"/>
          <w:color w:val="000000"/>
          <w:sz w:val="28"/>
          <w:szCs w:val="32"/>
        </w:rPr>
        <w:t>食用菌罐头制造等。</w:t>
      </w:r>
      <w:r>
        <w:rPr>
          <w:rFonts w:hint="eastAsia" w:ascii="Times New Roman" w:hAnsi="Times New Roman"/>
          <w:color w:val="000000"/>
          <w:sz w:val="28"/>
          <w:szCs w:val="32"/>
        </w:rPr>
        <w:t>加速对生产蔬菜制品食用菌制品（</w:t>
      </w:r>
      <w:r>
        <w:rPr>
          <w:rFonts w:ascii="Times New Roman" w:hAnsi="Times New Roman"/>
          <w:color w:val="000000"/>
          <w:sz w:val="28"/>
          <w:szCs w:val="32"/>
        </w:rPr>
        <w:t>干制食用菌</w:t>
      </w:r>
      <w:r>
        <w:rPr>
          <w:rFonts w:hint="eastAsia" w:ascii="Times New Roman" w:hAnsi="Times New Roman"/>
          <w:color w:val="000000"/>
          <w:sz w:val="28"/>
          <w:szCs w:val="32"/>
        </w:rPr>
        <w:t>）</w:t>
      </w:r>
      <w:r>
        <w:rPr>
          <w:rFonts w:ascii="Times New Roman" w:hAnsi="Times New Roman"/>
          <w:color w:val="000000"/>
          <w:sz w:val="28"/>
          <w:szCs w:val="32"/>
        </w:rPr>
        <w:t>、蔬菜干制品</w:t>
      </w:r>
      <w:r>
        <w:rPr>
          <w:rFonts w:hint="eastAsia" w:ascii="Times New Roman" w:hAnsi="Times New Roman"/>
          <w:color w:val="000000"/>
          <w:sz w:val="28"/>
          <w:szCs w:val="32"/>
        </w:rPr>
        <w:t>（</w:t>
      </w:r>
      <w:r>
        <w:rPr>
          <w:rFonts w:ascii="Times New Roman" w:hAnsi="Times New Roman"/>
          <w:color w:val="000000"/>
          <w:sz w:val="28"/>
          <w:szCs w:val="32"/>
        </w:rPr>
        <w:t>热风干燥蔬菜</w:t>
      </w:r>
      <w:r>
        <w:rPr>
          <w:rFonts w:hint="eastAsia" w:ascii="Times New Roman" w:hAnsi="Times New Roman"/>
          <w:color w:val="000000"/>
          <w:sz w:val="28"/>
          <w:szCs w:val="32"/>
        </w:rPr>
        <w:t>）等开发。</w:t>
      </w:r>
    </w:p>
    <w:p>
      <w:pPr>
        <w:adjustRightInd w:val="0"/>
        <w:snapToGrid w:val="0"/>
        <w:spacing w:before="156" w:beforeLines="50" w:after="156" w:afterLines="50" w:line="360" w:lineRule="auto"/>
        <w:ind w:firstLine="562" w:firstLineChars="200"/>
        <w:rPr>
          <w:rFonts w:ascii="Times New Roman" w:hAnsi="Times New Roman"/>
          <w:color w:val="000000"/>
          <w:sz w:val="28"/>
          <w:szCs w:val="32"/>
        </w:rPr>
      </w:pPr>
      <w:bookmarkStart w:id="38" w:name="_Toc25913344"/>
      <w:r>
        <w:rPr>
          <w:rFonts w:hint="eastAsia" w:ascii="Times New Roman" w:hAnsi="Times New Roman"/>
          <w:b/>
          <w:bCs/>
          <w:color w:val="000000"/>
          <w:sz w:val="28"/>
          <w:szCs w:val="32"/>
        </w:rPr>
        <w:t>——结合新市场拓展模式，同步布局线上线下环节</w:t>
      </w:r>
      <w:bookmarkEnd w:id="38"/>
      <w:r>
        <w:rPr>
          <w:rFonts w:hint="eastAsia" w:ascii="Times New Roman" w:hAnsi="Times New Roman"/>
          <w:b/>
          <w:bCs/>
          <w:color w:val="000000"/>
          <w:sz w:val="28"/>
          <w:szCs w:val="32"/>
        </w:rPr>
        <w:t>。</w:t>
      </w:r>
      <w:r>
        <w:rPr>
          <w:rFonts w:hint="eastAsia" w:ascii="Times New Roman" w:hAnsi="Times New Roman"/>
          <w:color w:val="000000"/>
          <w:sz w:val="28"/>
          <w:szCs w:val="32"/>
        </w:rPr>
        <w:t>同步布局线上线下环节。结合国内产品拓展新模式，重点推出线上推广闽侯休闲食品的微商平台；建设闽侯特色食品电商平台；积极与淘宝、天猫、京东等主流电商平台合作，推出闽侯特色食品等专栏。</w:t>
      </w:r>
    </w:p>
    <w:p>
      <w:pPr>
        <w:keepNext/>
        <w:keepLines/>
        <w:spacing w:before="120" w:after="120" w:line="360" w:lineRule="auto"/>
        <w:jc w:val="left"/>
        <w:outlineLvl w:val="3"/>
        <w:rPr>
          <w:rFonts w:ascii="Times New Roman" w:hAnsi="Times New Roman" w:cs="Times New Roman"/>
          <w:b/>
          <w:bCs/>
          <w:sz w:val="28"/>
          <w:szCs w:val="28"/>
        </w:rPr>
      </w:pPr>
      <w:bookmarkStart w:id="39" w:name="_Toc91669981"/>
      <w:r>
        <w:rPr>
          <w:rFonts w:ascii="Times New Roman" w:hAnsi="Times New Roman" w:cs="Times New Roman"/>
          <w:b/>
          <w:bCs/>
          <w:sz w:val="28"/>
          <w:szCs w:val="28"/>
        </w:rPr>
        <w:t>2、建材工业</w:t>
      </w:r>
      <w:bookmarkEnd w:id="39"/>
    </w:p>
    <w:p>
      <w:pPr>
        <w:adjustRightInd w:val="0"/>
        <w:snapToGrid w:val="0"/>
        <w:spacing w:line="360" w:lineRule="auto"/>
        <w:ind w:firstLine="562" w:firstLineChars="200"/>
        <w:rPr>
          <w:rFonts w:ascii="Times New Roman" w:hAnsi="Times New Roman" w:cs="Times New Roman"/>
          <w:color w:val="000000"/>
          <w:sz w:val="28"/>
          <w:szCs w:val="32"/>
        </w:rPr>
      </w:pPr>
      <w:r>
        <w:rPr>
          <w:rFonts w:ascii="Times New Roman" w:hAnsi="Times New Roman" w:cs="Times New Roman"/>
          <w:b/>
          <w:color w:val="000000"/>
          <w:sz w:val="28"/>
          <w:szCs w:val="32"/>
        </w:rPr>
        <w:t>（1）总体发展思路</w:t>
      </w:r>
    </w:p>
    <w:p>
      <w:pPr>
        <w:adjustRightInd w:val="0"/>
        <w:snapToGrid w:val="0"/>
        <w:spacing w:before="156" w:beforeLines="50" w:after="156" w:afterLines="50" w:line="360" w:lineRule="auto"/>
        <w:ind w:firstLine="560" w:firstLineChars="200"/>
        <w:rPr>
          <w:rFonts w:ascii="Times New Roman" w:hAnsi="Times New Roman" w:cs="Times New Roman"/>
          <w:color w:val="000000"/>
          <w:sz w:val="28"/>
          <w:szCs w:val="32"/>
        </w:rPr>
      </w:pPr>
      <w:r>
        <w:rPr>
          <w:rFonts w:ascii="Times New Roman" w:hAnsi="Times New Roman" w:cs="Times New Roman"/>
          <w:color w:val="000000"/>
          <w:sz w:val="28"/>
          <w:szCs w:val="32"/>
        </w:rPr>
        <w:t>以建材产业链下游装配式建筑为主导，重点支持钢结构构件、混凝土结构构件等产品的研发与生产，加快建设高端装配式建筑产业基地。以节能环保</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绿色生产为核心</w:t>
      </w:r>
      <w:r>
        <w:rPr>
          <w:rFonts w:hint="eastAsia" w:ascii="Times New Roman" w:hAnsi="Times New Roman" w:cs="Times New Roman"/>
          <w:color w:val="000000"/>
          <w:sz w:val="28"/>
          <w:szCs w:val="32"/>
        </w:rPr>
        <w:t>，全面推进传统建材企业生产工艺和流程的改造升级，并逐步腾退污染严重、生产低效的中小企业。依托新一代信息技术，逐步提高建材企业数字化、网络化、智能化水平。力争到2</w:t>
      </w:r>
      <w:r>
        <w:rPr>
          <w:rFonts w:ascii="Times New Roman" w:hAnsi="Times New Roman" w:cs="Times New Roman"/>
          <w:color w:val="000000"/>
          <w:sz w:val="28"/>
          <w:szCs w:val="32"/>
        </w:rPr>
        <w:t>025年</w:t>
      </w:r>
      <w:r>
        <w:rPr>
          <w:rFonts w:hint="eastAsia" w:ascii="Times New Roman" w:hAnsi="Times New Roman" w:cs="Times New Roman"/>
          <w:color w:val="000000"/>
          <w:sz w:val="28"/>
          <w:szCs w:val="32"/>
        </w:rPr>
        <w:t>，全县</w:t>
      </w:r>
      <w:r>
        <w:rPr>
          <w:rFonts w:ascii="Times New Roman" w:hAnsi="Times New Roman" w:cs="Times New Roman"/>
          <w:color w:val="000000"/>
          <w:sz w:val="28"/>
          <w:szCs w:val="32"/>
        </w:rPr>
        <w:t>建材工业产值达</w:t>
      </w:r>
      <w:r>
        <w:rPr>
          <w:rFonts w:hint="eastAsia" w:ascii="Times New Roman" w:hAnsi="Times New Roman" w:cs="Times New Roman"/>
          <w:color w:val="000000"/>
          <w:sz w:val="28"/>
          <w:szCs w:val="32"/>
        </w:rPr>
        <w:t>3</w:t>
      </w:r>
      <w:r>
        <w:rPr>
          <w:rFonts w:ascii="Times New Roman" w:hAnsi="Times New Roman" w:cs="Times New Roman"/>
          <w:color w:val="000000"/>
          <w:sz w:val="28"/>
          <w:szCs w:val="32"/>
        </w:rPr>
        <w:t>00亿元以上</w:t>
      </w:r>
      <w:r>
        <w:rPr>
          <w:rFonts w:hint="eastAsia" w:ascii="Times New Roman" w:hAnsi="Times New Roman" w:cs="Times New Roman"/>
          <w:color w:val="000000"/>
          <w:sz w:val="28"/>
          <w:szCs w:val="32"/>
        </w:rPr>
        <w:t>。</w:t>
      </w:r>
    </w:p>
    <w:p>
      <w:pPr>
        <w:adjustRightInd w:val="0"/>
        <w:snapToGrid w:val="0"/>
        <w:spacing w:line="360" w:lineRule="auto"/>
        <w:ind w:firstLine="562" w:firstLineChars="200"/>
        <w:rPr>
          <w:rFonts w:ascii="Times New Roman" w:hAnsi="Times New Roman" w:cs="Times New Roman"/>
          <w:color w:val="000000"/>
          <w:sz w:val="28"/>
          <w:szCs w:val="32"/>
        </w:rPr>
      </w:pPr>
      <w:r>
        <w:rPr>
          <w:rFonts w:ascii="Times New Roman" w:hAnsi="Times New Roman" w:cs="Times New Roman"/>
          <w:b/>
          <w:color w:val="000000"/>
          <w:sz w:val="28"/>
          <w:szCs w:val="32"/>
        </w:rPr>
        <w:t>（2）发展内容</w:t>
      </w:r>
    </w:p>
    <w:p>
      <w:pPr>
        <w:adjustRightInd w:val="0"/>
        <w:snapToGrid w:val="0"/>
        <w:spacing w:before="156" w:beforeLines="50" w:after="156" w:afterLines="50" w:line="360" w:lineRule="auto"/>
        <w:ind w:firstLine="562" w:firstLineChars="200"/>
        <w:rPr>
          <w:rFonts w:ascii="Times New Roman" w:hAnsi="Times New Roman" w:cs="Times New Roman"/>
          <w:color w:val="000000"/>
          <w:sz w:val="28"/>
          <w:szCs w:val="32"/>
        </w:rPr>
      </w:pPr>
      <w:r>
        <w:rPr>
          <w:rFonts w:ascii="Times New Roman" w:hAnsi="Times New Roman" w:cs="Times New Roman"/>
          <w:b/>
          <w:color w:val="000000"/>
          <w:sz w:val="28"/>
          <w:szCs w:val="32"/>
        </w:rPr>
        <w:t>——大力发展装配式建筑。</w:t>
      </w:r>
      <w:r>
        <w:rPr>
          <w:rFonts w:ascii="Times New Roman" w:hAnsi="Times New Roman" w:cs="Times New Roman"/>
          <w:color w:val="000000"/>
          <w:sz w:val="28"/>
          <w:szCs w:val="32"/>
        </w:rPr>
        <w:t>依托福建建工集团重钢制造基地项目</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大力推进钢结构住宅核心部件的研发与生产。推动本地企业与福建建工</w:t>
      </w:r>
      <w:r>
        <w:rPr>
          <w:rFonts w:ascii="Times New Roman" w:hAnsi="Times New Roman" w:cs="Times New Roman"/>
          <w:sz w:val="28"/>
          <w:szCs w:val="32"/>
        </w:rPr>
        <w:t>等</w:t>
      </w:r>
      <w:r>
        <w:rPr>
          <w:rFonts w:ascii="Times New Roman" w:hAnsi="Times New Roman" w:cs="Times New Roman"/>
          <w:color w:val="000000"/>
          <w:sz w:val="28"/>
          <w:szCs w:val="32"/>
        </w:rPr>
        <w:t>业内领先的建筑工程企业的深度合作，推进钢构建筑部件关键技术的集成创新</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充分依托本地丰富的混凝土上游资源，建立标准化生产线</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支持内外墙板、叠合板、空调板、楼梯、预制梁等部件产品的标准化生产。积极引进部件配套生产企业，发挥龙头企业引领作用，针对整体门窗等配套市场空缺实现精准补位，大力拓展产品品类</w:t>
      </w:r>
      <w:r>
        <w:rPr>
          <w:rFonts w:hint="eastAsia" w:ascii="Times New Roman" w:hAnsi="Times New Roman" w:cs="Times New Roman"/>
          <w:color w:val="000000"/>
          <w:sz w:val="28"/>
          <w:szCs w:val="32"/>
        </w:rPr>
        <w:t>，全力推进</w:t>
      </w:r>
      <w:r>
        <w:rPr>
          <w:rFonts w:ascii="Times New Roman" w:hAnsi="Times New Roman" w:cs="Times New Roman"/>
          <w:color w:val="000000"/>
          <w:sz w:val="28"/>
          <w:szCs w:val="32"/>
        </w:rPr>
        <w:t>闽侯县通用装配式建筑部件的标准化、规模化生产。</w:t>
      </w:r>
    </w:p>
    <w:p>
      <w:pPr>
        <w:adjustRightInd w:val="0"/>
        <w:snapToGrid w:val="0"/>
        <w:spacing w:before="156" w:beforeLines="50" w:after="156" w:afterLines="50" w:line="360" w:lineRule="auto"/>
        <w:ind w:firstLine="562" w:firstLineChars="200"/>
        <w:rPr>
          <w:rFonts w:ascii="Times New Roman" w:hAnsi="Times New Roman" w:cs="Times New Roman"/>
          <w:color w:val="000000"/>
          <w:sz w:val="28"/>
          <w:szCs w:val="32"/>
        </w:rPr>
      </w:pPr>
      <w:r>
        <w:rPr>
          <w:rFonts w:ascii="Times New Roman" w:hAnsi="Times New Roman" w:cs="Times New Roman"/>
          <w:b/>
          <w:color w:val="000000"/>
          <w:sz w:val="28"/>
          <w:szCs w:val="32"/>
        </w:rPr>
        <w:t>——推动传统建材产品的改造升级。</w:t>
      </w:r>
      <w:r>
        <w:rPr>
          <w:rFonts w:ascii="Times New Roman" w:hAnsi="Times New Roman" w:cs="Times New Roman"/>
          <w:color w:val="000000"/>
          <w:sz w:val="28"/>
          <w:szCs w:val="32"/>
        </w:rPr>
        <w:t>建立与绿色生产、绿色建材评价技术咨询机构的合作机制，为闽侯县建材工业提供改造升级顶层设计。以技术为导向</w:t>
      </w:r>
      <w:r>
        <w:rPr>
          <w:rFonts w:hint="eastAsia" w:ascii="Times New Roman" w:hAnsi="Times New Roman" w:cs="Times New Roman"/>
          <w:color w:val="000000"/>
          <w:sz w:val="28"/>
          <w:szCs w:val="32"/>
        </w:rPr>
        <w:t>，推动</w:t>
      </w:r>
      <w:r>
        <w:rPr>
          <w:rFonts w:ascii="Times New Roman" w:hAnsi="Times New Roman" w:cs="Times New Roman"/>
          <w:color w:val="000000"/>
          <w:sz w:val="28"/>
          <w:szCs w:val="32"/>
        </w:rPr>
        <w:t>传统建材</w:t>
      </w:r>
      <w:r>
        <w:rPr>
          <w:rFonts w:hint="eastAsia" w:ascii="Times New Roman" w:hAnsi="Times New Roman" w:cs="Times New Roman"/>
          <w:color w:val="000000"/>
          <w:sz w:val="28"/>
          <w:szCs w:val="32"/>
        </w:rPr>
        <w:t>企业成立绿色生产改造专班，</w:t>
      </w:r>
      <w:r>
        <w:rPr>
          <w:rFonts w:ascii="Times New Roman" w:hAnsi="Times New Roman" w:cs="Times New Roman"/>
          <w:color w:val="000000"/>
          <w:sz w:val="28"/>
          <w:szCs w:val="32"/>
        </w:rPr>
        <w:t>加快企业节能减排技术改造，鼓励企业建设全封闭、绿色环保型生产线</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实现资源高效利用</w:t>
      </w:r>
      <w:r>
        <w:rPr>
          <w:rFonts w:hint="eastAsia" w:ascii="Times New Roman" w:hAnsi="Times New Roman" w:cs="Times New Roman"/>
          <w:color w:val="000000"/>
          <w:sz w:val="28"/>
          <w:szCs w:val="32"/>
        </w:rPr>
        <w:t>、燃烧优化与</w:t>
      </w:r>
      <w:r>
        <w:rPr>
          <w:rFonts w:ascii="Times New Roman" w:hAnsi="Times New Roman" w:cs="Times New Roman"/>
          <w:color w:val="000000"/>
          <w:sz w:val="28"/>
          <w:szCs w:val="32"/>
        </w:rPr>
        <w:t>节能低碳生产</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污染物排放控制等</w:t>
      </w:r>
      <w:r>
        <w:rPr>
          <w:rFonts w:hint="eastAsia" w:ascii="Times New Roman" w:hAnsi="Times New Roman" w:cs="Times New Roman"/>
          <w:color w:val="000000"/>
          <w:sz w:val="28"/>
          <w:szCs w:val="32"/>
        </w:rPr>
        <w:t>。设立环保红线，</w:t>
      </w:r>
      <w:r>
        <w:rPr>
          <w:rFonts w:ascii="Times New Roman" w:hAnsi="Times New Roman" w:cs="Times New Roman"/>
          <w:color w:val="000000"/>
          <w:sz w:val="28"/>
          <w:szCs w:val="32"/>
        </w:rPr>
        <w:t>逐步腾退工艺落后、污染严重的中小企业。推进工业互联网</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大数据</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云计算</w:t>
      </w:r>
      <w:r>
        <w:rPr>
          <w:rFonts w:hint="eastAsia" w:ascii="Times New Roman" w:hAnsi="Times New Roman" w:cs="Times New Roman"/>
          <w:color w:val="000000"/>
          <w:sz w:val="28"/>
          <w:szCs w:val="32"/>
        </w:rPr>
        <w:t>、人工智能等新一代信息技术</w:t>
      </w:r>
      <w:r>
        <w:rPr>
          <w:rFonts w:ascii="Times New Roman" w:hAnsi="Times New Roman" w:cs="Times New Roman"/>
          <w:color w:val="000000"/>
          <w:sz w:val="28"/>
          <w:szCs w:val="32"/>
        </w:rPr>
        <w:t>在建材工业领域的应用发展</w:t>
      </w:r>
      <w:r>
        <w:rPr>
          <w:rFonts w:hint="eastAsia" w:ascii="Times New Roman" w:hAnsi="Times New Roman" w:cs="Times New Roman"/>
          <w:color w:val="000000"/>
          <w:sz w:val="28"/>
          <w:szCs w:val="32"/>
        </w:rPr>
        <w:t>，全面</w:t>
      </w:r>
      <w:r>
        <w:rPr>
          <w:rFonts w:ascii="Times New Roman" w:hAnsi="Times New Roman" w:cs="Times New Roman"/>
          <w:color w:val="000000"/>
          <w:sz w:val="28"/>
          <w:szCs w:val="32"/>
        </w:rPr>
        <w:t>提高建材企业在研发设计</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生产流程</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生产装备</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经营管理等方面的信息化水平</w:t>
      </w:r>
      <w:r>
        <w:rPr>
          <w:rFonts w:hint="eastAsia" w:ascii="Times New Roman" w:hAnsi="Times New Roman" w:cs="Times New Roman"/>
          <w:color w:val="000000"/>
          <w:sz w:val="28"/>
          <w:szCs w:val="32"/>
        </w:rPr>
        <w:t>。</w:t>
      </w:r>
    </w:p>
    <w:p>
      <w:pPr>
        <w:keepNext/>
        <w:keepLines/>
        <w:spacing w:before="120" w:after="120" w:line="360" w:lineRule="auto"/>
        <w:jc w:val="left"/>
        <w:outlineLvl w:val="3"/>
        <w:rPr>
          <w:rFonts w:ascii="Times New Roman" w:hAnsi="Times New Roman" w:cs="Times New Roman"/>
          <w:b/>
          <w:bCs/>
          <w:sz w:val="28"/>
          <w:szCs w:val="28"/>
        </w:rPr>
      </w:pPr>
      <w:bookmarkStart w:id="40" w:name="_Toc91669982"/>
      <w:r>
        <w:rPr>
          <w:rFonts w:ascii="Times New Roman" w:hAnsi="Times New Roman" w:cs="Times New Roman"/>
          <w:b/>
          <w:bCs/>
          <w:sz w:val="28"/>
          <w:szCs w:val="28"/>
        </w:rPr>
        <w:t>3</w:t>
      </w:r>
      <w:r>
        <w:rPr>
          <w:rFonts w:hint="eastAsia" w:ascii="Times New Roman" w:hAnsi="Times New Roman" w:cs="Times New Roman"/>
          <w:b/>
          <w:bCs/>
          <w:sz w:val="28"/>
          <w:szCs w:val="28"/>
        </w:rPr>
        <w:t>、</w:t>
      </w:r>
      <w:r>
        <w:rPr>
          <w:rFonts w:ascii="Times New Roman" w:hAnsi="Times New Roman" w:cs="Times New Roman"/>
          <w:b/>
          <w:bCs/>
          <w:sz w:val="28"/>
          <w:szCs w:val="28"/>
        </w:rPr>
        <w:t>工艺品加工业</w:t>
      </w:r>
      <w:bookmarkEnd w:id="40"/>
    </w:p>
    <w:p>
      <w:pPr>
        <w:adjustRightInd w:val="0"/>
        <w:snapToGrid w:val="0"/>
        <w:spacing w:line="360" w:lineRule="auto"/>
        <w:ind w:firstLine="562" w:firstLineChars="200"/>
        <w:rPr>
          <w:rFonts w:ascii="Times New Roman" w:hAnsi="Times New Roman"/>
          <w:b/>
          <w:color w:val="000000"/>
          <w:sz w:val="28"/>
          <w:szCs w:val="32"/>
        </w:rPr>
      </w:pPr>
      <w:r>
        <w:rPr>
          <w:rFonts w:hint="eastAsia" w:ascii="Times New Roman" w:hAnsi="Times New Roman"/>
          <w:b/>
          <w:color w:val="000000"/>
          <w:sz w:val="28"/>
          <w:szCs w:val="32"/>
        </w:rPr>
        <w:t>（1）总体发展思路</w:t>
      </w:r>
    </w:p>
    <w:p>
      <w:pPr>
        <w:adjustRightInd w:val="0"/>
        <w:snapToGrid w:val="0"/>
        <w:spacing w:before="156" w:beforeLines="50" w:after="156" w:afterLines="50" w:line="360" w:lineRule="auto"/>
        <w:ind w:firstLine="560" w:firstLineChars="200"/>
        <w:rPr>
          <w:rFonts w:ascii="Times New Roman" w:hAnsi="Times New Roman"/>
          <w:color w:val="000000"/>
          <w:sz w:val="28"/>
          <w:szCs w:val="32"/>
        </w:rPr>
      </w:pPr>
      <w:r>
        <w:rPr>
          <w:rFonts w:hint="eastAsia" w:ascii="Times New Roman" w:hAnsi="Times New Roman"/>
          <w:color w:val="000000"/>
          <w:sz w:val="28"/>
          <w:szCs w:val="32"/>
        </w:rPr>
        <w:t>继续发挥闽侯在工艺品加工领域的出口优势，抓住新冠疫情长尾效应对工艺品加工的长远需求，准确定位欧美市场对工艺品的特殊需求，重点了解国外工艺品行业发展趋势，驱动工艺品企业产品升级。结合福州传统文化，推动“另一脚”走路，定位国内类似工艺品市场，加速相关产品开发和研究，在推动国外市场的同时开拓部分国内市场。鼓励本地工艺品企业依托新一代信息技术推进传统组织方式、生产工艺、生产流程的全面转型升级，实现提质增效。力争到2</w:t>
      </w:r>
      <w:r>
        <w:rPr>
          <w:rFonts w:ascii="Times New Roman" w:hAnsi="Times New Roman"/>
          <w:color w:val="000000"/>
          <w:sz w:val="28"/>
          <w:szCs w:val="32"/>
        </w:rPr>
        <w:t>025年</w:t>
      </w:r>
      <w:r>
        <w:rPr>
          <w:rFonts w:hint="eastAsia" w:ascii="Times New Roman" w:hAnsi="Times New Roman"/>
          <w:color w:val="000000"/>
          <w:sz w:val="28"/>
          <w:szCs w:val="32"/>
        </w:rPr>
        <w:t>，</w:t>
      </w:r>
      <w:r>
        <w:rPr>
          <w:rFonts w:ascii="Times New Roman" w:hAnsi="Times New Roman"/>
          <w:color w:val="000000"/>
          <w:sz w:val="28"/>
          <w:szCs w:val="32"/>
        </w:rPr>
        <w:t>工艺品加工业产值达到</w:t>
      </w:r>
      <w:r>
        <w:rPr>
          <w:rFonts w:hint="eastAsia" w:ascii="Times New Roman" w:hAnsi="Times New Roman"/>
          <w:color w:val="000000"/>
          <w:sz w:val="28"/>
          <w:szCs w:val="32"/>
        </w:rPr>
        <w:t>3</w:t>
      </w:r>
      <w:r>
        <w:rPr>
          <w:rFonts w:ascii="Times New Roman" w:hAnsi="Times New Roman"/>
          <w:color w:val="000000"/>
          <w:sz w:val="28"/>
          <w:szCs w:val="32"/>
        </w:rPr>
        <w:t>00亿元以上</w:t>
      </w:r>
      <w:r>
        <w:rPr>
          <w:rFonts w:hint="eastAsia" w:ascii="Times New Roman" w:hAnsi="Times New Roman"/>
          <w:color w:val="000000"/>
          <w:sz w:val="28"/>
          <w:szCs w:val="32"/>
        </w:rPr>
        <w:t>。</w:t>
      </w:r>
    </w:p>
    <w:p>
      <w:pPr>
        <w:adjustRightInd w:val="0"/>
        <w:snapToGrid w:val="0"/>
        <w:spacing w:line="360" w:lineRule="auto"/>
        <w:ind w:firstLine="562" w:firstLineChars="200"/>
        <w:rPr>
          <w:rFonts w:ascii="Times New Roman" w:hAnsi="Times New Roman"/>
          <w:b/>
          <w:color w:val="000000"/>
          <w:sz w:val="28"/>
          <w:szCs w:val="32"/>
        </w:rPr>
      </w:pPr>
      <w:r>
        <w:rPr>
          <w:rFonts w:hint="eastAsia" w:ascii="Times New Roman" w:hAnsi="Times New Roman"/>
          <w:b/>
          <w:color w:val="000000"/>
          <w:sz w:val="28"/>
          <w:szCs w:val="32"/>
        </w:rPr>
        <w:t>（2）发展内容</w:t>
      </w:r>
    </w:p>
    <w:p>
      <w:pPr>
        <w:adjustRightInd w:val="0"/>
        <w:snapToGrid w:val="0"/>
        <w:spacing w:before="156" w:beforeLines="50" w:after="156" w:afterLines="50" w:line="360" w:lineRule="auto"/>
        <w:ind w:firstLine="562" w:firstLineChars="200"/>
        <w:rPr>
          <w:rFonts w:ascii="Times New Roman" w:hAnsi="Times New Roman"/>
          <w:color w:val="000000"/>
          <w:sz w:val="28"/>
          <w:szCs w:val="32"/>
        </w:rPr>
      </w:pPr>
      <w:r>
        <w:rPr>
          <w:rFonts w:hint="eastAsia" w:ascii="Times New Roman" w:hAnsi="Times New Roman"/>
          <w:b/>
          <w:color w:val="000000"/>
          <w:sz w:val="28"/>
          <w:szCs w:val="32"/>
        </w:rPr>
        <w:t>——重点发展欧美节庆园艺类工艺品产品。</w:t>
      </w:r>
      <w:r>
        <w:rPr>
          <w:rFonts w:hint="eastAsia" w:ascii="Times New Roman" w:hAnsi="Times New Roman"/>
          <w:bCs/>
          <w:color w:val="000000"/>
          <w:sz w:val="28"/>
          <w:szCs w:val="32"/>
        </w:rPr>
        <w:t>积极跟踪国外工艺品发展趋势，加速对国外工艺品市场、特别是节庆期间工艺品市场的需求，重点推动</w:t>
      </w:r>
      <w:r>
        <w:rPr>
          <w:rFonts w:hint="eastAsia" w:ascii="Times New Roman" w:hAnsi="Times New Roman"/>
          <w:color w:val="000000"/>
          <w:sz w:val="28"/>
          <w:szCs w:val="32"/>
        </w:rPr>
        <w:t>竹制品、铁艺品、木制品、铁木制品、帆布画、漆艺制品、工艺钟制品、皮革制品、园艺制品、节日制品十大类产品的开发，鼓励闽兴、常春腾、闽泉、弘博、华源、汇益、兴诚、倍特、云飞等龙头企业加速应用现代设计、加工等环节对在工艺品开发过程中的作用，将新一代工艺品加工模式与传统工艺品结合。</w:t>
      </w:r>
    </w:p>
    <w:p>
      <w:pPr>
        <w:adjustRightInd w:val="0"/>
        <w:snapToGrid w:val="0"/>
        <w:spacing w:before="156" w:beforeLines="50" w:after="156" w:afterLines="50" w:line="360" w:lineRule="auto"/>
        <w:ind w:firstLine="562" w:firstLineChars="200"/>
        <w:rPr>
          <w:rFonts w:ascii="Times New Roman" w:hAnsi="Times New Roman"/>
          <w:color w:val="000000"/>
          <w:sz w:val="28"/>
          <w:szCs w:val="32"/>
        </w:rPr>
      </w:pPr>
      <w:r>
        <w:rPr>
          <w:rFonts w:hint="eastAsia" w:ascii="Times New Roman" w:hAnsi="Times New Roman"/>
          <w:b/>
          <w:bCs/>
          <w:color w:val="000000"/>
          <w:sz w:val="28"/>
          <w:szCs w:val="32"/>
        </w:rPr>
        <w:t>——推动本地文化艺术品加速发展。</w:t>
      </w:r>
      <w:r>
        <w:rPr>
          <w:rFonts w:hint="eastAsia" w:ascii="Times New Roman" w:hAnsi="Times New Roman"/>
          <w:color w:val="000000"/>
          <w:sz w:val="28"/>
          <w:szCs w:val="32"/>
        </w:rPr>
        <w:t>加速开发福州本土文化，积极推动福州地区传统根雕、脱胎漆器等具有特殊的传统工艺品的研发，加快挖掘福州、闽侯本地文化与传统工艺相结合，打造具有闽侯本土文化的艺术品加工高端产品。</w:t>
      </w:r>
    </w:p>
    <w:p>
      <w:pPr>
        <w:adjustRightInd w:val="0"/>
        <w:snapToGrid w:val="0"/>
        <w:spacing w:before="156" w:beforeLines="50" w:after="156" w:afterLines="50" w:line="360" w:lineRule="auto"/>
        <w:ind w:firstLine="562" w:firstLineChars="200"/>
        <w:rPr>
          <w:rFonts w:ascii="Times New Roman" w:hAnsi="Times New Roman"/>
          <w:color w:val="000000"/>
          <w:sz w:val="28"/>
          <w:szCs w:val="32"/>
        </w:rPr>
      </w:pPr>
      <w:r>
        <w:rPr>
          <w:rFonts w:hint="eastAsia" w:ascii="Times New Roman" w:hAnsi="Times New Roman"/>
          <w:b/>
          <w:color w:val="000000"/>
          <w:sz w:val="28"/>
          <w:szCs w:val="32"/>
        </w:rPr>
        <w:t>——以数字化赋能工艺品加工企业。</w:t>
      </w:r>
      <w:r>
        <w:rPr>
          <w:rFonts w:hint="eastAsia" w:ascii="Times New Roman" w:hAnsi="Times New Roman"/>
          <w:color w:val="000000"/>
          <w:sz w:val="28"/>
          <w:szCs w:val="32"/>
        </w:rPr>
        <w:t>顺应数字化转型浪潮，鼓励企业引进新技术、新工艺、新材料、新设备，运用大数据、人工智能、3</w:t>
      </w:r>
      <w:r>
        <w:rPr>
          <w:rFonts w:ascii="Times New Roman" w:hAnsi="Times New Roman"/>
          <w:color w:val="000000"/>
          <w:sz w:val="28"/>
          <w:szCs w:val="32"/>
        </w:rPr>
        <w:t>D打印</w:t>
      </w:r>
      <w:r>
        <w:rPr>
          <w:rFonts w:hint="eastAsia" w:ascii="Times New Roman" w:hAnsi="Times New Roman"/>
          <w:color w:val="000000"/>
          <w:sz w:val="28"/>
          <w:szCs w:val="32"/>
        </w:rPr>
        <w:t>等新兴技术改造、升级现有的生产、组织方式，普及数字创意设计类软件推进创意设计的高效推进，全面提高设计生产流程的数字化水平。搭建闽侯工艺品线上交易平台，整合本地工艺品类别、企业、商品名录等，允许客户线上完成远程下单、个性化定制等操作，以优质的线上服务扩大闽侯工艺品在国内外消费群体中的影响力。</w:t>
      </w:r>
    </w:p>
    <w:p>
      <w:pPr>
        <w:keepNext/>
        <w:keepLines/>
        <w:spacing w:before="120" w:after="120" w:line="360" w:lineRule="auto"/>
        <w:jc w:val="left"/>
        <w:outlineLvl w:val="3"/>
        <w:rPr>
          <w:rFonts w:ascii="Times New Roman" w:hAnsi="Times New Roman" w:cs="Times New Roman"/>
          <w:b/>
          <w:bCs/>
          <w:sz w:val="28"/>
          <w:szCs w:val="28"/>
        </w:rPr>
      </w:pPr>
      <w:bookmarkStart w:id="41" w:name="_Toc91669983"/>
      <w:r>
        <w:rPr>
          <w:rFonts w:ascii="Times New Roman" w:hAnsi="Times New Roman" w:cs="Times New Roman"/>
          <w:b/>
          <w:bCs/>
          <w:sz w:val="28"/>
          <w:szCs w:val="28"/>
        </w:rPr>
        <w:t>4</w:t>
      </w:r>
      <w:r>
        <w:rPr>
          <w:rFonts w:hint="eastAsia" w:ascii="Times New Roman" w:hAnsi="Times New Roman" w:cs="Times New Roman"/>
          <w:b/>
          <w:bCs/>
          <w:sz w:val="28"/>
          <w:szCs w:val="28"/>
        </w:rPr>
        <w:t>、</w:t>
      </w:r>
      <w:r>
        <w:rPr>
          <w:rFonts w:ascii="Times New Roman" w:hAnsi="Times New Roman" w:cs="Times New Roman"/>
          <w:b/>
          <w:bCs/>
          <w:sz w:val="28"/>
          <w:szCs w:val="28"/>
        </w:rPr>
        <w:t>服装加工业</w:t>
      </w:r>
      <w:bookmarkEnd w:id="41"/>
    </w:p>
    <w:p>
      <w:pPr>
        <w:adjustRightInd w:val="0"/>
        <w:snapToGrid w:val="0"/>
        <w:spacing w:line="360" w:lineRule="auto"/>
        <w:ind w:firstLine="562" w:firstLineChars="200"/>
        <w:rPr>
          <w:rFonts w:ascii="Times New Roman" w:hAnsi="Times New Roman" w:cs="Times New Roman"/>
          <w:color w:val="000000"/>
          <w:sz w:val="28"/>
          <w:szCs w:val="32"/>
        </w:rPr>
      </w:pPr>
      <w:r>
        <w:rPr>
          <w:rFonts w:ascii="Times New Roman" w:hAnsi="Times New Roman" w:cs="Times New Roman"/>
          <w:b/>
          <w:color w:val="000000"/>
          <w:sz w:val="28"/>
          <w:szCs w:val="32"/>
        </w:rPr>
        <w:t>（1）总体发展思路</w:t>
      </w:r>
    </w:p>
    <w:p>
      <w:pPr>
        <w:adjustRightInd w:val="0"/>
        <w:snapToGrid w:val="0"/>
        <w:spacing w:before="156" w:beforeLines="50" w:after="156" w:afterLines="50" w:line="360" w:lineRule="auto"/>
        <w:ind w:firstLine="560" w:firstLineChars="200"/>
        <w:rPr>
          <w:rFonts w:ascii="Times New Roman" w:hAnsi="Times New Roman" w:cs="Times New Roman"/>
          <w:color w:val="000000"/>
          <w:sz w:val="28"/>
          <w:szCs w:val="32"/>
        </w:rPr>
      </w:pPr>
      <w:r>
        <w:rPr>
          <w:rFonts w:ascii="Times New Roman" w:hAnsi="Times New Roman" w:cs="Times New Roman"/>
          <w:color w:val="000000"/>
          <w:sz w:val="28"/>
          <w:szCs w:val="32"/>
        </w:rPr>
        <w:t>立足闽侯县</w:t>
      </w:r>
      <w:r>
        <w:rPr>
          <w:rFonts w:hint="eastAsia" w:ascii="Times New Roman" w:hAnsi="Times New Roman" w:cs="Times New Roman"/>
          <w:color w:val="000000"/>
          <w:sz w:val="28"/>
          <w:szCs w:val="32"/>
        </w:rPr>
        <w:t>在服装代工、</w:t>
      </w:r>
      <w:r>
        <w:rPr>
          <w:rFonts w:ascii="Times New Roman" w:hAnsi="Times New Roman" w:cs="Times New Roman"/>
          <w:color w:val="000000"/>
          <w:sz w:val="28"/>
          <w:szCs w:val="32"/>
        </w:rPr>
        <w:t>制造等领域的产业基础，以节省人力</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自动化</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智能化为主攻方向</w:t>
      </w:r>
      <w:r>
        <w:rPr>
          <w:rFonts w:hint="eastAsia" w:ascii="Times New Roman" w:hAnsi="Times New Roman" w:cs="Times New Roman"/>
          <w:color w:val="000000"/>
          <w:sz w:val="28"/>
          <w:szCs w:val="32"/>
        </w:rPr>
        <w:t>，引进先进制造技术和管理方法，加快生产企业工艺技术升级，</w:t>
      </w:r>
      <w:r>
        <w:rPr>
          <w:rFonts w:ascii="Times New Roman" w:hAnsi="Times New Roman" w:cs="Times New Roman"/>
          <w:color w:val="000000"/>
          <w:sz w:val="28"/>
          <w:szCs w:val="32"/>
        </w:rPr>
        <w:t>快速实现产业链从加工制造向研发设计环节和销售服务环节拓展延伸，推动服装加工业向深加工和中高档产品转型发展。逐步引进服装时尚创意设计模式</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做大做强具有特色的国内外知名服装品牌。力争到</w:t>
      </w:r>
      <w:r>
        <w:rPr>
          <w:rFonts w:hint="eastAsia" w:ascii="Times New Roman" w:hAnsi="Times New Roman" w:cs="Times New Roman"/>
          <w:color w:val="000000"/>
          <w:sz w:val="28"/>
          <w:szCs w:val="32"/>
        </w:rPr>
        <w:t>2</w:t>
      </w:r>
      <w:r>
        <w:rPr>
          <w:rFonts w:ascii="Times New Roman" w:hAnsi="Times New Roman" w:cs="Times New Roman"/>
          <w:color w:val="000000"/>
          <w:sz w:val="28"/>
          <w:szCs w:val="32"/>
        </w:rPr>
        <w:t>025年</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服装加工业产值达到</w:t>
      </w:r>
      <w:r>
        <w:rPr>
          <w:rFonts w:hint="eastAsia" w:ascii="Times New Roman" w:hAnsi="Times New Roman" w:cs="Times New Roman"/>
          <w:color w:val="000000"/>
          <w:sz w:val="28"/>
          <w:szCs w:val="32"/>
        </w:rPr>
        <w:t>2</w:t>
      </w:r>
      <w:r>
        <w:rPr>
          <w:rFonts w:ascii="Times New Roman" w:hAnsi="Times New Roman" w:cs="Times New Roman"/>
          <w:color w:val="000000"/>
          <w:sz w:val="28"/>
          <w:szCs w:val="32"/>
        </w:rPr>
        <w:t>00亿元以上</w:t>
      </w:r>
      <w:r>
        <w:rPr>
          <w:rFonts w:hint="eastAsia" w:ascii="Times New Roman" w:hAnsi="Times New Roman" w:cs="Times New Roman"/>
          <w:color w:val="000000"/>
          <w:sz w:val="28"/>
          <w:szCs w:val="32"/>
        </w:rPr>
        <w:t>。</w:t>
      </w:r>
    </w:p>
    <w:p>
      <w:pPr>
        <w:adjustRightInd w:val="0"/>
        <w:snapToGrid w:val="0"/>
        <w:spacing w:line="360" w:lineRule="auto"/>
        <w:ind w:firstLine="562" w:firstLineChars="200"/>
        <w:rPr>
          <w:rFonts w:ascii="Times New Roman" w:hAnsi="Times New Roman" w:cs="Times New Roman"/>
          <w:b/>
          <w:color w:val="000000"/>
          <w:sz w:val="28"/>
          <w:szCs w:val="32"/>
        </w:rPr>
      </w:pPr>
      <w:r>
        <w:rPr>
          <w:rFonts w:ascii="Times New Roman" w:hAnsi="Times New Roman" w:cs="Times New Roman"/>
          <w:b/>
          <w:color w:val="000000"/>
          <w:sz w:val="28"/>
          <w:szCs w:val="32"/>
        </w:rPr>
        <w:t>（2）发展内容</w:t>
      </w:r>
    </w:p>
    <w:p>
      <w:pPr>
        <w:adjustRightInd w:val="0"/>
        <w:snapToGrid w:val="0"/>
        <w:spacing w:before="156" w:beforeLines="50" w:after="156" w:afterLines="50" w:line="360" w:lineRule="auto"/>
        <w:ind w:firstLine="562" w:firstLineChars="200"/>
        <w:rPr>
          <w:rFonts w:ascii="Times New Roman" w:hAnsi="Times New Roman" w:cs="Times New Roman"/>
          <w:color w:val="000000"/>
          <w:sz w:val="28"/>
          <w:szCs w:val="32"/>
        </w:rPr>
      </w:pPr>
      <w:r>
        <w:rPr>
          <w:rFonts w:ascii="Times New Roman" w:hAnsi="Times New Roman" w:cs="Times New Roman"/>
          <w:b/>
          <w:color w:val="000000"/>
          <w:sz w:val="28"/>
          <w:szCs w:val="32"/>
        </w:rPr>
        <w:t>——</w:t>
      </w:r>
      <w:r>
        <w:rPr>
          <w:rFonts w:hint="eastAsia" w:ascii="Times New Roman" w:hAnsi="Times New Roman" w:cs="Times New Roman"/>
          <w:b/>
          <w:color w:val="000000"/>
          <w:sz w:val="28"/>
          <w:szCs w:val="32"/>
        </w:rPr>
        <w:t>推进服装加工技术升级。</w:t>
      </w:r>
      <w:r>
        <w:rPr>
          <w:rFonts w:hint="eastAsia" w:ascii="Times New Roman" w:hAnsi="Times New Roman" w:cs="Times New Roman"/>
          <w:color w:val="000000"/>
          <w:sz w:val="28"/>
          <w:szCs w:val="32"/>
        </w:rPr>
        <w:t>以顺邦科技等为试点，鼓励引进智能拉布机、电脑裁床、数字化服装设备（面向绣花、印花、家纺等）以及特种缝制设备等，全面提升生产效率。积极引导企业部署P</w:t>
      </w:r>
      <w:r>
        <w:rPr>
          <w:rFonts w:ascii="Times New Roman" w:hAnsi="Times New Roman" w:cs="Times New Roman"/>
          <w:color w:val="000000"/>
          <w:sz w:val="28"/>
          <w:szCs w:val="32"/>
        </w:rPr>
        <w:t>DM/PLM</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ERP</w:t>
      </w:r>
      <w:r>
        <w:rPr>
          <w:rFonts w:hint="eastAsia" w:ascii="Times New Roman" w:hAnsi="Times New Roman" w:cs="Times New Roman"/>
          <w:color w:val="000000"/>
          <w:sz w:val="28"/>
          <w:szCs w:val="32"/>
        </w:rPr>
        <w:t>、C</w:t>
      </w:r>
      <w:r>
        <w:rPr>
          <w:rFonts w:ascii="Times New Roman" w:hAnsi="Times New Roman" w:cs="Times New Roman"/>
          <w:color w:val="000000"/>
          <w:sz w:val="28"/>
          <w:szCs w:val="32"/>
        </w:rPr>
        <w:t>RM等</w:t>
      </w:r>
      <w:r>
        <w:rPr>
          <w:rFonts w:hint="eastAsia" w:ascii="Times New Roman" w:hAnsi="Times New Roman" w:cs="Times New Roman"/>
          <w:color w:val="000000"/>
          <w:sz w:val="28"/>
          <w:szCs w:val="32"/>
        </w:rPr>
        <w:t>工业软件、R</w:t>
      </w:r>
      <w:r>
        <w:rPr>
          <w:rFonts w:ascii="Times New Roman" w:hAnsi="Times New Roman" w:cs="Times New Roman"/>
          <w:color w:val="000000"/>
          <w:sz w:val="28"/>
          <w:szCs w:val="32"/>
        </w:rPr>
        <w:t>FID射频识别技术以</w:t>
      </w:r>
      <w:r>
        <w:rPr>
          <w:rFonts w:hint="eastAsia" w:ascii="Times New Roman" w:hAnsi="Times New Roman" w:cs="Times New Roman"/>
          <w:color w:val="000000"/>
          <w:sz w:val="28"/>
          <w:szCs w:val="32"/>
        </w:rPr>
        <w:t>及</w:t>
      </w:r>
      <w:r>
        <w:rPr>
          <w:rFonts w:ascii="Times New Roman" w:hAnsi="Times New Roman" w:cs="Times New Roman"/>
          <w:color w:val="000000"/>
          <w:sz w:val="28"/>
          <w:szCs w:val="32"/>
        </w:rPr>
        <w:t>激光扫描器等设备</w:t>
      </w:r>
      <w:r>
        <w:rPr>
          <w:rFonts w:hint="eastAsia" w:ascii="Times New Roman" w:hAnsi="Times New Roman" w:cs="Times New Roman"/>
          <w:color w:val="000000"/>
          <w:sz w:val="28"/>
          <w:szCs w:val="32"/>
        </w:rPr>
        <w:t>，提高对库存、款式、结构、客户标识等基本信息资料的管理水平，实现精准预测、采购管理、生产计划、分销管理等供应链数字化管理，全面推进服装企业物流链、信息链和价值链的数字化、智能化转型。</w:t>
      </w:r>
    </w:p>
    <w:p>
      <w:pPr>
        <w:adjustRightInd w:val="0"/>
        <w:snapToGrid w:val="0"/>
        <w:spacing w:before="156" w:beforeLines="50" w:after="156" w:afterLines="50" w:line="360" w:lineRule="auto"/>
        <w:ind w:firstLine="562" w:firstLineChars="200"/>
        <w:rPr>
          <w:rFonts w:ascii="Times New Roman" w:hAnsi="Times New Roman" w:cs="Times New Roman"/>
          <w:color w:val="000000"/>
          <w:sz w:val="28"/>
          <w:szCs w:val="32"/>
        </w:rPr>
      </w:pPr>
      <w:r>
        <w:rPr>
          <w:rFonts w:ascii="Times New Roman" w:hAnsi="Times New Roman" w:cs="Times New Roman"/>
          <w:b/>
          <w:color w:val="000000"/>
          <w:sz w:val="28"/>
          <w:szCs w:val="32"/>
        </w:rPr>
        <w:t>——提高设计能力</w:t>
      </w:r>
      <w:r>
        <w:rPr>
          <w:rFonts w:hint="eastAsia" w:ascii="Times New Roman" w:hAnsi="Times New Roman" w:cs="Times New Roman"/>
          <w:b/>
          <w:color w:val="000000"/>
          <w:sz w:val="28"/>
          <w:szCs w:val="32"/>
        </w:rPr>
        <w:t>，</w:t>
      </w:r>
      <w:r>
        <w:rPr>
          <w:rFonts w:ascii="Times New Roman" w:hAnsi="Times New Roman" w:cs="Times New Roman"/>
          <w:b/>
          <w:color w:val="000000"/>
          <w:sz w:val="28"/>
          <w:szCs w:val="32"/>
        </w:rPr>
        <w:t>强化服装品牌建设。</w:t>
      </w:r>
      <w:r>
        <w:rPr>
          <w:rFonts w:ascii="Times New Roman" w:hAnsi="Times New Roman" w:cs="Times New Roman"/>
          <w:color w:val="000000"/>
          <w:sz w:val="28"/>
          <w:szCs w:val="32"/>
        </w:rPr>
        <w:t>积极推动传统服装加工企业向时尚服装与纺织服装延伸。培育企业创新原动力</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鼓励企业招引服装设计人才</w:t>
      </w:r>
      <w:r>
        <w:rPr>
          <w:rFonts w:hint="eastAsia" w:ascii="Times New Roman" w:hAnsi="Times New Roman" w:cs="Times New Roman"/>
          <w:color w:val="000000"/>
          <w:sz w:val="28"/>
          <w:szCs w:val="32"/>
        </w:rPr>
        <w:t>，建立自主设计团队，推动企业由服装代工、服装加工的角色向拥有自主知识产权的服装品牌转变，同时</w:t>
      </w:r>
      <w:r>
        <w:rPr>
          <w:rFonts w:ascii="Times New Roman" w:hAnsi="Times New Roman" w:cs="Times New Roman"/>
          <w:color w:val="000000"/>
          <w:sz w:val="28"/>
          <w:szCs w:val="32"/>
        </w:rPr>
        <w:t>迎合市场需求，布局生产时尚服装和高档服装领域的重点垂直品类。打造区域服装品牌，对外招引品牌服装企业，对内鼓励本地企业、团队自创品牌。</w:t>
      </w:r>
      <w:r>
        <w:rPr>
          <w:rFonts w:hint="eastAsia" w:ascii="Times New Roman" w:hAnsi="Times New Roman" w:cs="Times New Roman"/>
          <w:color w:val="000000"/>
          <w:sz w:val="28"/>
          <w:szCs w:val="32"/>
        </w:rPr>
        <w:t>引导企业通过</w:t>
      </w:r>
      <w:r>
        <w:rPr>
          <w:rFonts w:ascii="Times New Roman" w:hAnsi="Times New Roman" w:cs="Times New Roman"/>
          <w:color w:val="000000"/>
          <w:sz w:val="28"/>
          <w:szCs w:val="32"/>
        </w:rPr>
        <w:t>Logo设计、产品升级、包装升级、广告投放、CIS（企业形象设计）、VI（视觉识别系统）、渠道推广、终端展示等多个环节，树立服装品牌，并打造品牌形象的多维度统一性。</w:t>
      </w:r>
    </w:p>
    <w:p>
      <w:pPr>
        <w:keepNext/>
        <w:keepLines/>
        <w:spacing w:before="120" w:after="120" w:line="360" w:lineRule="auto"/>
        <w:jc w:val="left"/>
        <w:outlineLvl w:val="2"/>
        <w:rPr>
          <w:rFonts w:ascii="Times New Roman" w:hAnsi="Times New Roman" w:cs="Times New Roman"/>
          <w:b/>
          <w:bCs/>
          <w:sz w:val="30"/>
          <w:szCs w:val="32"/>
        </w:rPr>
      </w:pPr>
      <w:bookmarkStart w:id="42" w:name="_Toc91669984"/>
      <w:r>
        <w:rPr>
          <w:rFonts w:ascii="Times New Roman" w:hAnsi="Times New Roman" w:cs="Times New Roman"/>
          <w:b/>
          <w:bCs/>
          <w:sz w:val="30"/>
          <w:szCs w:val="32"/>
        </w:rPr>
        <w:t>（三）注重协同发展，发挥战新产业引领作用</w:t>
      </w:r>
      <w:bookmarkEnd w:id="42"/>
    </w:p>
    <w:p>
      <w:pPr>
        <w:keepNext/>
        <w:keepLines/>
        <w:spacing w:before="120" w:after="120" w:line="360" w:lineRule="auto"/>
        <w:jc w:val="left"/>
        <w:outlineLvl w:val="3"/>
        <w:rPr>
          <w:rFonts w:ascii="Times New Roman" w:hAnsi="Times New Roman" w:cs="Times New Roman"/>
          <w:b/>
          <w:bCs/>
          <w:sz w:val="28"/>
          <w:szCs w:val="28"/>
        </w:rPr>
      </w:pPr>
      <w:bookmarkStart w:id="43" w:name="_Toc91669985"/>
      <w:r>
        <w:rPr>
          <w:rFonts w:ascii="Times New Roman" w:hAnsi="Times New Roman" w:cs="Times New Roman"/>
          <w:b/>
          <w:bCs/>
          <w:sz w:val="28"/>
          <w:szCs w:val="28"/>
        </w:rPr>
        <w:t>1、新材料</w:t>
      </w:r>
      <w:bookmarkEnd w:id="43"/>
    </w:p>
    <w:p>
      <w:pPr>
        <w:adjustRightInd w:val="0"/>
        <w:snapToGrid w:val="0"/>
        <w:spacing w:line="360" w:lineRule="auto"/>
        <w:ind w:firstLine="562" w:firstLineChars="200"/>
        <w:rPr>
          <w:rFonts w:ascii="Times New Roman" w:hAnsi="Times New Roman" w:cs="Times New Roman"/>
          <w:b/>
          <w:color w:val="000000"/>
          <w:sz w:val="28"/>
          <w:szCs w:val="32"/>
        </w:rPr>
      </w:pPr>
      <w:r>
        <w:rPr>
          <w:rFonts w:ascii="Times New Roman" w:hAnsi="Times New Roman" w:cs="Times New Roman"/>
          <w:b/>
          <w:color w:val="000000"/>
          <w:sz w:val="28"/>
          <w:szCs w:val="32"/>
        </w:rPr>
        <w:t>（1）总体发展思路</w:t>
      </w:r>
    </w:p>
    <w:p>
      <w:pPr>
        <w:adjustRightInd w:val="0"/>
        <w:snapToGrid w:val="0"/>
        <w:spacing w:before="156" w:beforeLines="50" w:after="156" w:afterLines="50" w:line="360" w:lineRule="auto"/>
        <w:ind w:firstLine="560" w:firstLineChars="200"/>
        <w:rPr>
          <w:rFonts w:ascii="Times New Roman" w:hAnsi="Times New Roman" w:cs="Times New Roman"/>
          <w:color w:val="000000"/>
          <w:sz w:val="28"/>
          <w:szCs w:val="32"/>
        </w:rPr>
      </w:pPr>
      <w:r>
        <w:rPr>
          <w:rFonts w:ascii="Times New Roman" w:hAnsi="Times New Roman" w:cs="Times New Roman"/>
          <w:color w:val="000000"/>
          <w:sz w:val="28"/>
          <w:szCs w:val="32"/>
        </w:rPr>
        <w:t>充分发挥新材料作为国民经济战略性、先导性产业优势，以东台高端新材料产业园为主要依托</w:t>
      </w:r>
      <w:r>
        <w:rPr>
          <w:rFonts w:hint="eastAsia" w:ascii="Times New Roman" w:hAnsi="Times New Roman" w:cs="Times New Roman"/>
          <w:color w:val="000000"/>
          <w:sz w:val="28"/>
          <w:szCs w:val="32"/>
        </w:rPr>
        <w:t>，以</w:t>
      </w:r>
      <w:r>
        <w:rPr>
          <w:rFonts w:ascii="Times New Roman" w:hAnsi="Times New Roman" w:cs="Times New Roman"/>
          <w:color w:val="000000"/>
          <w:sz w:val="28"/>
          <w:szCs w:val="32"/>
        </w:rPr>
        <w:t>祥鑫</w:t>
      </w:r>
      <w:r>
        <w:rPr>
          <w:rFonts w:hint="eastAsia" w:ascii="Times New Roman" w:hAnsi="Times New Roman" w:cs="Times New Roman"/>
          <w:color w:val="000000"/>
          <w:sz w:val="28"/>
          <w:szCs w:val="32"/>
        </w:rPr>
        <w:t>、麦特新、</w:t>
      </w:r>
      <w:r>
        <w:rPr>
          <w:rFonts w:ascii="Times New Roman" w:hAnsi="Times New Roman" w:cs="Times New Roman"/>
          <w:color w:val="000000"/>
          <w:sz w:val="28"/>
          <w:szCs w:val="32"/>
        </w:rPr>
        <w:t>蓝建等龙头企业为引领</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打造新材料产业创新中心</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完善新材料全链条体系</w:t>
      </w:r>
      <w:r>
        <w:rPr>
          <w:rFonts w:hint="eastAsia" w:ascii="Times New Roman" w:hAnsi="Times New Roman" w:cs="Times New Roman"/>
          <w:color w:val="000000"/>
          <w:sz w:val="28"/>
          <w:szCs w:val="32"/>
        </w:rPr>
        <w:t>。重点发展以特种铝合金材料为代表的特种金属材料，深入推进产品在冷却系统、座椅系统、天窗、防撞梁等汽车金属零部件生态圈的纵深扩张，加快建设无溶剂自洁净熔铝炉及铝合金高压气瓶产业化项目，稳步推进新材料产业与应用产业的融合发展。加速布局电子信息新材料，大力发展各类微电子、光电子、大规模集成电路、传感器材料、特种电子元器件材料等。推进材料生产过程的智能化和绿色化改造，降低生产成本，持续提高闽侯县新材料产业的核心竞争力。</w:t>
      </w:r>
    </w:p>
    <w:p>
      <w:pPr>
        <w:adjustRightInd w:val="0"/>
        <w:snapToGrid w:val="0"/>
        <w:spacing w:line="360" w:lineRule="auto"/>
        <w:ind w:firstLine="562" w:firstLineChars="200"/>
        <w:rPr>
          <w:rFonts w:ascii="Times New Roman" w:hAnsi="Times New Roman" w:cs="Times New Roman"/>
          <w:b/>
          <w:color w:val="000000"/>
          <w:sz w:val="28"/>
          <w:szCs w:val="32"/>
        </w:rPr>
      </w:pPr>
      <w:r>
        <w:rPr>
          <w:rFonts w:ascii="Times New Roman" w:hAnsi="Times New Roman" w:cs="Times New Roman"/>
          <w:b/>
          <w:color w:val="000000"/>
          <w:sz w:val="28"/>
          <w:szCs w:val="32"/>
        </w:rPr>
        <w:t>（2）发展内容</w:t>
      </w:r>
    </w:p>
    <w:p>
      <w:pPr>
        <w:adjustRightInd w:val="0"/>
        <w:snapToGrid w:val="0"/>
        <w:spacing w:before="156" w:beforeLines="50" w:after="156" w:afterLines="50" w:line="360" w:lineRule="auto"/>
        <w:ind w:firstLine="562" w:firstLineChars="200"/>
        <w:rPr>
          <w:rFonts w:ascii="Times New Roman" w:hAnsi="Times New Roman" w:cs="Times New Roman"/>
          <w:color w:val="000000"/>
          <w:sz w:val="28"/>
          <w:szCs w:val="32"/>
        </w:rPr>
      </w:pPr>
      <w:r>
        <w:rPr>
          <w:rFonts w:hint="eastAsia" w:ascii="Times New Roman" w:hAnsi="Times New Roman" w:cs="Times New Roman"/>
          <w:b/>
          <w:color w:val="000000"/>
          <w:sz w:val="28"/>
          <w:szCs w:val="32"/>
        </w:rPr>
        <w:t>——</w:t>
      </w:r>
      <w:r>
        <w:rPr>
          <w:rFonts w:ascii="Times New Roman" w:hAnsi="Times New Roman" w:cs="Times New Roman"/>
          <w:b/>
          <w:color w:val="000000"/>
          <w:sz w:val="28"/>
          <w:szCs w:val="32"/>
        </w:rPr>
        <w:t>优先发展特种金属材料</w:t>
      </w:r>
      <w:r>
        <w:rPr>
          <w:rFonts w:hint="eastAsia" w:ascii="Times New Roman" w:hAnsi="Times New Roman" w:cs="Times New Roman"/>
          <w:b/>
          <w:color w:val="000000"/>
          <w:sz w:val="28"/>
          <w:szCs w:val="32"/>
        </w:rPr>
        <w:t>。</w:t>
      </w:r>
      <w:r>
        <w:rPr>
          <w:rFonts w:hint="eastAsia" w:ascii="Times New Roman" w:hAnsi="Times New Roman" w:cs="Times New Roman"/>
          <w:color w:val="000000"/>
          <w:sz w:val="28"/>
          <w:szCs w:val="32"/>
        </w:rPr>
        <w:t>以东台高端新材料产业园建设为依托，以祥鑫军民融合特种铝合金材料项目、麦特新无溶剂自洁净熔铝炉及铝合金高压气瓶产业化项目为引领，全力发展以铝合金材料为主的特种金属材料，推进产品在汽车整车、汽车零部件、3</w:t>
      </w:r>
      <w:r>
        <w:rPr>
          <w:rFonts w:ascii="Times New Roman" w:hAnsi="Times New Roman" w:cs="Times New Roman"/>
          <w:color w:val="000000"/>
          <w:sz w:val="28"/>
          <w:szCs w:val="32"/>
        </w:rPr>
        <w:t>C产品</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航空航天</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医疗器材等领域的纵深发展</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鼓励企业定制</w:t>
      </w:r>
      <w:r>
        <w:rPr>
          <w:rFonts w:hint="eastAsia" w:ascii="Times New Roman" w:hAnsi="Times New Roman" w:cs="Times New Roman"/>
          <w:color w:val="000000"/>
          <w:sz w:val="28"/>
          <w:szCs w:val="32"/>
        </w:rPr>
        <w:t>或</w:t>
      </w:r>
      <w:r>
        <w:rPr>
          <w:rFonts w:ascii="Times New Roman" w:hAnsi="Times New Roman" w:cs="Times New Roman"/>
          <w:color w:val="000000"/>
          <w:sz w:val="28"/>
          <w:szCs w:val="32"/>
        </w:rPr>
        <w:t>引进精密切割</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精密机加工</w:t>
      </w:r>
      <w:r>
        <w:rPr>
          <w:rFonts w:hint="eastAsia" w:ascii="Times New Roman" w:hAnsi="Times New Roman" w:cs="Times New Roman"/>
          <w:color w:val="000000"/>
          <w:sz w:val="28"/>
          <w:szCs w:val="32"/>
        </w:rPr>
        <w:t>、精密焊接等精密数控设备，优化生产工艺流程，提高产品精度。积极引导企业进行数字化、智能化转型，全面部署工业互联网，打通企业原材料、生产加工、质量监测等供应链全环节，实现智能化管控。充分发挥东台产业园与青口汽车工业园区的地缘优势，率先建立园区新材料企业与本地整车厂商、汽车零部件厂商的紧密合作机制，配合东南汽车、福建奔驰、井原六和、爱德克斯等知名厂商围绕高性能、轻量化两大方向进行新产品的研发，逐步提高区域特种铝合金材料产品的自给配套率。鼓励企业研发、引进并推广绿色、高效、节能的原料熔化铸造技术、低成本除杂技术、绿色排污技术等，持续降低产品生产过程对环境造成的影响。</w:t>
      </w:r>
    </w:p>
    <w:p>
      <w:pPr>
        <w:adjustRightInd w:val="0"/>
        <w:snapToGrid w:val="0"/>
        <w:spacing w:before="156" w:beforeLines="50" w:after="156" w:afterLines="50" w:line="360" w:lineRule="auto"/>
        <w:ind w:firstLine="562" w:firstLineChars="200"/>
        <w:rPr>
          <w:rFonts w:ascii="Times New Roman" w:hAnsi="Times New Roman" w:cs="Times New Roman"/>
          <w:color w:val="000000"/>
          <w:sz w:val="28"/>
          <w:szCs w:val="32"/>
        </w:rPr>
      </w:pPr>
      <w:r>
        <w:rPr>
          <w:rFonts w:ascii="Times New Roman" w:hAnsi="Times New Roman" w:cs="Times New Roman"/>
          <w:b/>
          <w:color w:val="000000"/>
          <w:sz w:val="28"/>
          <w:szCs w:val="32"/>
        </w:rPr>
        <w:t>——加速布局电子信息材料。</w:t>
      </w:r>
      <w:r>
        <w:rPr>
          <w:rFonts w:ascii="Times New Roman" w:hAnsi="Times New Roman" w:cs="Times New Roman"/>
          <w:color w:val="000000"/>
          <w:sz w:val="28"/>
          <w:szCs w:val="32"/>
        </w:rPr>
        <w:t>依托蓝建集团</w:t>
      </w:r>
      <w:r>
        <w:rPr>
          <w:rFonts w:hint="eastAsia" w:ascii="Times New Roman" w:hAnsi="Times New Roman" w:cs="Times New Roman"/>
          <w:color w:val="000000"/>
          <w:sz w:val="28"/>
          <w:szCs w:val="32"/>
        </w:rPr>
        <w:t>，重点</w:t>
      </w:r>
      <w:r>
        <w:rPr>
          <w:rFonts w:ascii="Times New Roman" w:hAnsi="Times New Roman" w:cs="Times New Roman"/>
          <w:color w:val="000000"/>
          <w:sz w:val="28"/>
          <w:szCs w:val="32"/>
        </w:rPr>
        <w:t>发展以微电子、大规模集成电路为主的电子信息材料</w:t>
      </w:r>
      <w:r>
        <w:rPr>
          <w:rFonts w:hint="eastAsia" w:ascii="Times New Roman" w:hAnsi="Times New Roman" w:cs="Times New Roman"/>
          <w:color w:val="000000"/>
          <w:sz w:val="28"/>
          <w:szCs w:val="32"/>
        </w:rPr>
        <w:t>，在维持、开拓外部电子整机客户、汽车整车客户、汽车零部件客户、军队客户的同时，加速建立与东南汽车、福建奔驰等本地整车厂深度合作的上下游配套关系，推出量身定制的车用P</w:t>
      </w:r>
      <w:r>
        <w:rPr>
          <w:rFonts w:ascii="Times New Roman" w:hAnsi="Times New Roman" w:cs="Times New Roman"/>
          <w:color w:val="000000"/>
          <w:sz w:val="28"/>
          <w:szCs w:val="32"/>
        </w:rPr>
        <w:t>CB</w:t>
      </w:r>
      <w:r>
        <w:rPr>
          <w:rFonts w:hint="eastAsia" w:ascii="Times New Roman" w:hAnsi="Times New Roman" w:cs="Times New Roman"/>
          <w:color w:val="000000"/>
          <w:sz w:val="28"/>
          <w:szCs w:val="32"/>
        </w:rPr>
        <w:t>（印制电路板）</w:t>
      </w:r>
      <w:r>
        <w:rPr>
          <w:rFonts w:ascii="Times New Roman" w:hAnsi="Times New Roman" w:cs="Times New Roman"/>
          <w:color w:val="000000"/>
          <w:sz w:val="28"/>
          <w:szCs w:val="32"/>
        </w:rPr>
        <w:t>解决方案</w:t>
      </w:r>
      <w:r>
        <w:rPr>
          <w:rFonts w:hint="eastAsia" w:ascii="Times New Roman" w:hAnsi="Times New Roman" w:cs="Times New Roman"/>
          <w:color w:val="000000"/>
          <w:sz w:val="28"/>
          <w:szCs w:val="32"/>
        </w:rPr>
        <w:t>，完善青口汽车产业生态圈。把握未来发展趋势，鼓励企业推进P</w:t>
      </w:r>
      <w:r>
        <w:rPr>
          <w:rFonts w:ascii="Times New Roman" w:hAnsi="Times New Roman" w:cs="Times New Roman"/>
          <w:color w:val="000000"/>
          <w:sz w:val="28"/>
          <w:szCs w:val="32"/>
        </w:rPr>
        <w:t>CBA</w:t>
      </w:r>
      <w:r>
        <w:rPr>
          <w:rFonts w:hint="eastAsia" w:ascii="Times New Roman" w:hAnsi="Times New Roman" w:cs="Times New Roman"/>
          <w:color w:val="000000"/>
          <w:sz w:val="28"/>
          <w:szCs w:val="32"/>
        </w:rPr>
        <w:t>（印制电路板加贴片）、H</w:t>
      </w:r>
      <w:r>
        <w:rPr>
          <w:rFonts w:ascii="Times New Roman" w:hAnsi="Times New Roman" w:cs="Times New Roman"/>
          <w:color w:val="000000"/>
          <w:sz w:val="28"/>
          <w:szCs w:val="32"/>
        </w:rPr>
        <w:t>DI</w:t>
      </w:r>
      <w:r>
        <w:rPr>
          <w:rFonts w:hint="eastAsia" w:ascii="Times New Roman" w:hAnsi="Times New Roman" w:cs="Times New Roman"/>
          <w:color w:val="000000"/>
          <w:sz w:val="28"/>
          <w:szCs w:val="32"/>
        </w:rPr>
        <w:t>（高密度互联板）、高多层P</w:t>
      </w:r>
      <w:r>
        <w:rPr>
          <w:rFonts w:ascii="Times New Roman" w:hAnsi="Times New Roman" w:cs="Times New Roman"/>
          <w:color w:val="000000"/>
          <w:sz w:val="28"/>
          <w:szCs w:val="32"/>
        </w:rPr>
        <w:t>CB板等前沿技术与产品的落地</w:t>
      </w:r>
      <w:r>
        <w:rPr>
          <w:rFonts w:hint="eastAsia" w:ascii="Times New Roman" w:hAnsi="Times New Roman" w:cs="Times New Roman"/>
          <w:color w:val="000000"/>
          <w:sz w:val="28"/>
          <w:szCs w:val="32"/>
        </w:rPr>
        <w:t>，加速</w:t>
      </w:r>
      <w:r>
        <w:rPr>
          <w:rFonts w:ascii="Times New Roman" w:hAnsi="Times New Roman" w:cs="Times New Roman"/>
          <w:color w:val="000000"/>
          <w:sz w:val="28"/>
          <w:szCs w:val="32"/>
        </w:rPr>
        <w:t>培育竞争优势</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扩大企业的业务布局范围</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大力招引光电子材料</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传感器材料</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特种电子元器件材料等方向的企业入驻产业园</w:t>
      </w:r>
      <w:r>
        <w:rPr>
          <w:rFonts w:hint="eastAsia" w:ascii="Times New Roman" w:hAnsi="Times New Roman" w:cs="Times New Roman"/>
          <w:color w:val="000000"/>
          <w:sz w:val="28"/>
          <w:szCs w:val="32"/>
        </w:rPr>
        <w:t>，蓄力打造电子信息材料产业集群，持续扩张下游客户群。引导企业进行生产工艺升级，推动3</w:t>
      </w:r>
      <w:r>
        <w:rPr>
          <w:rFonts w:ascii="Times New Roman" w:hAnsi="Times New Roman" w:cs="Times New Roman"/>
          <w:color w:val="000000"/>
          <w:sz w:val="28"/>
          <w:szCs w:val="32"/>
        </w:rPr>
        <w:t>D打印技术</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压缩空气节能方案</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节能电镀</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节能电机等技术与方案的落地应用</w:t>
      </w:r>
      <w:r>
        <w:rPr>
          <w:rFonts w:hint="eastAsia" w:ascii="Times New Roman" w:hAnsi="Times New Roman" w:cs="Times New Roman"/>
          <w:color w:val="000000"/>
          <w:sz w:val="28"/>
          <w:szCs w:val="32"/>
        </w:rPr>
        <w:t>，持续推进电子信息材料的绿色、节能、可持续发展。</w:t>
      </w:r>
    </w:p>
    <w:p>
      <w:pPr>
        <w:keepNext/>
        <w:keepLines/>
        <w:spacing w:before="120" w:after="120" w:line="360" w:lineRule="auto"/>
        <w:jc w:val="left"/>
        <w:outlineLvl w:val="3"/>
        <w:rPr>
          <w:rFonts w:ascii="Times New Roman" w:hAnsi="Times New Roman" w:cs="Times New Roman"/>
          <w:b/>
          <w:bCs/>
          <w:sz w:val="28"/>
          <w:szCs w:val="28"/>
        </w:rPr>
      </w:pPr>
      <w:bookmarkStart w:id="44" w:name="_Toc91669986"/>
      <w:r>
        <w:rPr>
          <w:rFonts w:ascii="Times New Roman" w:hAnsi="Times New Roman" w:cs="Times New Roman"/>
          <w:b/>
          <w:bCs/>
          <w:sz w:val="28"/>
          <w:szCs w:val="28"/>
        </w:rPr>
        <w:t>2、新一代信息技术</w:t>
      </w:r>
      <w:bookmarkEnd w:id="44"/>
    </w:p>
    <w:p>
      <w:pPr>
        <w:adjustRightInd w:val="0"/>
        <w:snapToGrid w:val="0"/>
        <w:spacing w:line="360" w:lineRule="auto"/>
        <w:ind w:firstLine="562" w:firstLineChars="200"/>
        <w:rPr>
          <w:rFonts w:ascii="Times New Roman" w:hAnsi="Times New Roman" w:cs="Times New Roman"/>
          <w:b/>
          <w:color w:val="000000"/>
          <w:sz w:val="28"/>
          <w:szCs w:val="32"/>
        </w:rPr>
      </w:pPr>
      <w:r>
        <w:rPr>
          <w:rFonts w:ascii="Times New Roman" w:hAnsi="Times New Roman" w:cs="Times New Roman"/>
          <w:b/>
          <w:color w:val="000000"/>
          <w:sz w:val="28"/>
          <w:szCs w:val="32"/>
        </w:rPr>
        <w:t>（1）总体发展思路</w:t>
      </w:r>
    </w:p>
    <w:p>
      <w:pPr>
        <w:adjustRightInd w:val="0"/>
        <w:snapToGrid w:val="0"/>
        <w:spacing w:before="156" w:beforeLines="50" w:after="156" w:afterLines="50" w:line="360" w:lineRule="auto"/>
        <w:ind w:firstLine="560" w:firstLineChars="200"/>
        <w:rPr>
          <w:rFonts w:ascii="Times New Roman" w:hAnsi="Times New Roman" w:cs="Times New Roman"/>
          <w:color w:val="000000"/>
          <w:sz w:val="28"/>
          <w:szCs w:val="32"/>
        </w:rPr>
      </w:pPr>
      <w:r>
        <w:rPr>
          <w:rFonts w:ascii="Times New Roman" w:hAnsi="Times New Roman" w:cs="Times New Roman"/>
          <w:color w:val="000000"/>
          <w:sz w:val="28"/>
          <w:szCs w:val="32"/>
        </w:rPr>
        <w:t>积极对接武汉、合肥、郑州以及长三角和珠三角地区的优势企业，有选择地进行招商引资，理性承接上述地区技术水平高、附加值高的技术密集型、资金密集型信息技术产业输出。立足旗山湖三创园现有教育资源基础，以大数据、人工智能、区块链为发展核心，加大龙头企业招引力度，</w:t>
      </w:r>
      <w:r>
        <w:rPr>
          <w:rFonts w:hint="eastAsia" w:ascii="Times New Roman" w:hAnsi="Times New Roman" w:cs="Times New Roman"/>
          <w:color w:val="000000"/>
          <w:sz w:val="28"/>
          <w:szCs w:val="32"/>
        </w:rPr>
        <w:t>重点建设南通科学城，</w:t>
      </w:r>
      <w:r>
        <w:rPr>
          <w:rFonts w:ascii="Times New Roman" w:hAnsi="Times New Roman" w:cs="Times New Roman"/>
          <w:color w:val="000000"/>
          <w:sz w:val="28"/>
          <w:szCs w:val="32"/>
        </w:rPr>
        <w:t>打造福州市信息技术产业集群。</w:t>
      </w:r>
    </w:p>
    <w:p>
      <w:pPr>
        <w:adjustRightInd w:val="0"/>
        <w:snapToGrid w:val="0"/>
        <w:spacing w:line="360" w:lineRule="auto"/>
        <w:ind w:firstLine="562" w:firstLineChars="200"/>
        <w:rPr>
          <w:rFonts w:ascii="Times New Roman" w:hAnsi="Times New Roman" w:cs="Times New Roman"/>
          <w:b/>
          <w:color w:val="000000"/>
          <w:sz w:val="28"/>
          <w:szCs w:val="32"/>
        </w:rPr>
      </w:pPr>
      <w:r>
        <w:rPr>
          <w:rFonts w:ascii="Times New Roman" w:hAnsi="Times New Roman" w:cs="Times New Roman"/>
          <w:b/>
          <w:color w:val="000000"/>
          <w:sz w:val="28"/>
          <w:szCs w:val="32"/>
        </w:rPr>
        <w:t>（2）发展内容</w:t>
      </w:r>
    </w:p>
    <w:p>
      <w:pPr>
        <w:adjustRightInd w:val="0"/>
        <w:snapToGrid w:val="0"/>
        <w:spacing w:before="156" w:beforeLines="50" w:after="156" w:afterLines="50" w:line="360" w:lineRule="auto"/>
        <w:ind w:firstLine="562" w:firstLineChars="200"/>
        <w:rPr>
          <w:rFonts w:ascii="Times New Roman" w:hAnsi="Times New Roman" w:cs="Times New Roman"/>
          <w:color w:val="000000"/>
          <w:sz w:val="28"/>
          <w:szCs w:val="32"/>
        </w:rPr>
      </w:pPr>
      <w:r>
        <w:rPr>
          <w:rFonts w:ascii="Times New Roman" w:hAnsi="Times New Roman" w:cs="Times New Roman"/>
          <w:b/>
          <w:color w:val="000000"/>
          <w:sz w:val="28"/>
          <w:szCs w:val="32"/>
        </w:rPr>
        <w:t>——优先布局大数据产业。</w:t>
      </w:r>
      <w:r>
        <w:rPr>
          <w:rFonts w:ascii="Times New Roman" w:hAnsi="Times New Roman" w:cs="Times New Roman"/>
          <w:color w:val="000000"/>
          <w:sz w:val="28"/>
          <w:szCs w:val="32"/>
        </w:rPr>
        <w:t>推动政府公共信息、企业信息合理有序公开、资源整合，建立各类大数据平台。</w:t>
      </w:r>
      <w:r>
        <w:rPr>
          <w:rFonts w:hint="eastAsia" w:ascii="Times New Roman" w:hAnsi="Times New Roman" w:cs="Times New Roman"/>
          <w:color w:val="000000"/>
          <w:sz w:val="28"/>
          <w:szCs w:val="32"/>
        </w:rPr>
        <w:t>依托福州软件园闽侯分园现有资源，</w:t>
      </w:r>
      <w:r>
        <w:rPr>
          <w:rFonts w:ascii="Times New Roman" w:hAnsi="Times New Roman" w:cs="Times New Roman"/>
          <w:color w:val="000000"/>
          <w:sz w:val="28"/>
          <w:szCs w:val="32"/>
        </w:rPr>
        <w:t>积极引进大数据相关企业，着力打造大数据研发、收集、挖掘、分析、处理、应用等大数据全产业链，重点研发分布式存储系统、并行数据处理、数据组合管理应用、特征识别等关键技术，探索具有商业模式的增值数据服务，协同推进大数据产业体系构建。</w:t>
      </w:r>
    </w:p>
    <w:p>
      <w:pPr>
        <w:adjustRightInd w:val="0"/>
        <w:snapToGrid w:val="0"/>
        <w:spacing w:before="156" w:beforeLines="50" w:after="156" w:afterLines="50" w:line="360" w:lineRule="auto"/>
        <w:ind w:firstLine="562" w:firstLineChars="200"/>
        <w:rPr>
          <w:rFonts w:ascii="Times New Roman" w:hAnsi="Times New Roman" w:cs="Times New Roman"/>
          <w:sz w:val="28"/>
          <w:szCs w:val="32"/>
        </w:rPr>
      </w:pPr>
      <w:r>
        <w:rPr>
          <w:rFonts w:ascii="Times New Roman" w:hAnsi="Times New Roman" w:cs="Times New Roman"/>
          <w:b/>
          <w:color w:val="000000"/>
          <w:sz w:val="28"/>
          <w:szCs w:val="32"/>
        </w:rPr>
        <w:t>—</w:t>
      </w:r>
      <w:r>
        <w:rPr>
          <w:rFonts w:ascii="Times New Roman" w:hAnsi="Times New Roman" w:cs="Times New Roman"/>
          <w:b/>
          <w:sz w:val="28"/>
          <w:szCs w:val="32"/>
        </w:rPr>
        <w:t>—重点发展物联网应用。</w:t>
      </w:r>
      <w:r>
        <w:rPr>
          <w:rFonts w:ascii="Times New Roman" w:hAnsi="Times New Roman" w:cs="Times New Roman"/>
          <w:sz w:val="28"/>
          <w:szCs w:val="32"/>
        </w:rPr>
        <w:t>物联网主要包括支撑层、感知层、传输层、平台层、应用层。重点发展平台层和应用层，重点推进支撑软件、计算中心等研发及应用。重点推进物联网在本地传统产业汽车、纺织、工艺品制造中的应用，稳步研发相关技术在智能工业、智能农业、智能物流、智能交通、智能电网、智能环保、智能安防、智能医疗、智能家居等领域的应用。</w:t>
      </w:r>
    </w:p>
    <w:p>
      <w:pPr>
        <w:adjustRightInd w:val="0"/>
        <w:snapToGrid w:val="0"/>
        <w:spacing w:before="156" w:beforeLines="50" w:after="156" w:afterLines="50" w:line="360" w:lineRule="auto"/>
        <w:ind w:firstLine="562" w:firstLineChars="200"/>
        <w:rPr>
          <w:rFonts w:ascii="Times New Roman" w:hAnsi="Times New Roman" w:cs="Times New Roman"/>
          <w:color w:val="000000"/>
          <w:sz w:val="28"/>
          <w:szCs w:val="32"/>
        </w:rPr>
      </w:pPr>
      <w:r>
        <w:rPr>
          <w:rFonts w:ascii="Times New Roman" w:hAnsi="Times New Roman" w:cs="Times New Roman"/>
          <w:b/>
          <w:color w:val="000000"/>
          <w:sz w:val="28"/>
          <w:szCs w:val="32"/>
        </w:rPr>
        <w:t>——逐步发展云计算产业。</w:t>
      </w:r>
      <w:r>
        <w:rPr>
          <w:rFonts w:ascii="Times New Roman" w:hAnsi="Times New Roman" w:cs="Times New Roman"/>
          <w:color w:val="000000"/>
          <w:sz w:val="28"/>
          <w:szCs w:val="32"/>
        </w:rPr>
        <w:t>围绕云计算产业链构建，发展云产业的云工程、云服务、云工程与云服务三种基本业态，重点布局大规模分布式数据共享与管理、资源调度、虚拟资源管理及弹性计算、网络化软件运营支撑、大规模分布式系统运维及客户端云操作系统，重点发展面向企业和公众的移动云服务。以云计算服务平台和基础设施建设为抓手，支持企业优先发展云服务，加快发展云计算软件、基础设施核心设备、终端产品，建设一批云计算服务平台，支持企业参与云计算应用示范工程和标准体系建设。</w:t>
      </w:r>
    </w:p>
    <w:p>
      <w:pPr>
        <w:keepNext/>
        <w:keepLines/>
        <w:spacing w:before="120" w:after="120" w:line="360" w:lineRule="auto"/>
        <w:jc w:val="left"/>
        <w:outlineLvl w:val="3"/>
        <w:rPr>
          <w:rFonts w:ascii="Times New Roman" w:hAnsi="Times New Roman" w:cs="Times New Roman"/>
          <w:b/>
          <w:bCs/>
          <w:sz w:val="28"/>
          <w:szCs w:val="28"/>
        </w:rPr>
      </w:pPr>
      <w:bookmarkStart w:id="45" w:name="_Toc91669987"/>
      <w:r>
        <w:rPr>
          <w:rFonts w:ascii="Times New Roman" w:hAnsi="Times New Roman" w:cs="Times New Roman"/>
          <w:b/>
          <w:bCs/>
          <w:sz w:val="28"/>
          <w:szCs w:val="28"/>
        </w:rPr>
        <w:t>3、生物医药</w:t>
      </w:r>
      <w:bookmarkEnd w:id="45"/>
    </w:p>
    <w:p>
      <w:pPr>
        <w:adjustRightInd w:val="0"/>
        <w:snapToGrid w:val="0"/>
        <w:spacing w:line="360" w:lineRule="auto"/>
        <w:ind w:firstLine="562" w:firstLineChars="200"/>
        <w:rPr>
          <w:rFonts w:ascii="Times New Roman" w:hAnsi="Times New Roman" w:cs="Times New Roman"/>
          <w:b/>
          <w:color w:val="000000"/>
          <w:sz w:val="28"/>
          <w:szCs w:val="32"/>
        </w:rPr>
      </w:pPr>
      <w:r>
        <w:rPr>
          <w:rFonts w:ascii="Times New Roman" w:hAnsi="Times New Roman" w:cs="Times New Roman"/>
          <w:b/>
          <w:color w:val="000000"/>
          <w:sz w:val="28"/>
          <w:szCs w:val="32"/>
        </w:rPr>
        <w:t>（1）总体发展思路</w:t>
      </w:r>
    </w:p>
    <w:p>
      <w:pPr>
        <w:adjustRightInd w:val="0"/>
        <w:snapToGrid w:val="0"/>
        <w:spacing w:before="156" w:beforeLines="50" w:after="156" w:afterLines="50" w:line="360" w:lineRule="auto"/>
        <w:ind w:firstLine="560" w:firstLineChars="200"/>
        <w:rPr>
          <w:rFonts w:ascii="Times New Roman" w:hAnsi="Times New Roman" w:cs="Times New Roman"/>
          <w:color w:val="000000"/>
          <w:sz w:val="28"/>
          <w:szCs w:val="32"/>
        </w:rPr>
      </w:pPr>
      <w:r>
        <w:rPr>
          <w:rFonts w:ascii="Times New Roman" w:hAnsi="Times New Roman" w:cs="Times New Roman"/>
          <w:color w:val="000000"/>
          <w:sz w:val="28"/>
          <w:szCs w:val="32"/>
        </w:rPr>
        <w:t>深入落实“海上福州”行动方案，依托闽侯县资源禀赋和产业基础，</w:t>
      </w:r>
      <w:r>
        <w:rPr>
          <w:rFonts w:hint="eastAsia" w:ascii="Times New Roman" w:hAnsi="Times New Roman" w:cs="Times New Roman"/>
          <w:color w:val="000000"/>
          <w:sz w:val="28"/>
          <w:szCs w:val="32"/>
        </w:rPr>
        <w:t>理</w:t>
      </w:r>
      <w:r>
        <w:rPr>
          <w:rFonts w:ascii="Times New Roman" w:hAnsi="Times New Roman" w:cs="Times New Roman"/>
          <w:color w:val="000000"/>
          <w:sz w:val="28"/>
          <w:szCs w:val="32"/>
        </w:rPr>
        <w:t>清全县生物医药产业发展方向和空间布局，加大龙头骨干企业招引力度，加速产业集聚发展。以长庚生物</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福州新北生化等企业为核心，重点推动医疗器械</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海洋特色生物医药制品等产业发展，加大政策扶持力度，引导产业向精细化方向发展。</w:t>
      </w:r>
    </w:p>
    <w:p>
      <w:pPr>
        <w:adjustRightInd w:val="0"/>
        <w:snapToGrid w:val="0"/>
        <w:spacing w:line="360" w:lineRule="auto"/>
        <w:ind w:firstLine="562" w:firstLineChars="200"/>
        <w:rPr>
          <w:rFonts w:ascii="Times New Roman" w:hAnsi="Times New Roman" w:cs="Times New Roman"/>
          <w:b/>
          <w:color w:val="000000"/>
          <w:sz w:val="28"/>
          <w:szCs w:val="32"/>
        </w:rPr>
      </w:pPr>
      <w:r>
        <w:rPr>
          <w:rFonts w:ascii="Times New Roman" w:hAnsi="Times New Roman" w:cs="Times New Roman"/>
          <w:b/>
          <w:color w:val="000000"/>
          <w:sz w:val="28"/>
          <w:szCs w:val="32"/>
        </w:rPr>
        <w:t>（2）发展内容</w:t>
      </w:r>
    </w:p>
    <w:p>
      <w:pPr>
        <w:adjustRightInd w:val="0"/>
        <w:snapToGrid w:val="0"/>
        <w:spacing w:before="156" w:beforeLines="50" w:after="156" w:afterLines="50" w:line="360" w:lineRule="auto"/>
        <w:ind w:firstLine="562" w:firstLineChars="200"/>
        <w:rPr>
          <w:rFonts w:ascii="Times New Roman" w:hAnsi="Times New Roman" w:cs="Times New Roman"/>
          <w:color w:val="000000"/>
          <w:sz w:val="28"/>
          <w:szCs w:val="32"/>
        </w:rPr>
      </w:pPr>
      <w:r>
        <w:rPr>
          <w:rFonts w:ascii="Times New Roman" w:hAnsi="Times New Roman" w:cs="Times New Roman"/>
          <w:b/>
          <w:color w:val="000000"/>
          <w:sz w:val="28"/>
          <w:szCs w:val="32"/>
        </w:rPr>
        <w:t>——大力发展医疗器械产业。</w:t>
      </w:r>
      <w:r>
        <w:rPr>
          <w:rFonts w:ascii="Times New Roman" w:hAnsi="Times New Roman" w:cs="Times New Roman"/>
          <w:color w:val="000000"/>
          <w:sz w:val="28"/>
          <w:szCs w:val="32"/>
        </w:rPr>
        <w:t>依托闽侯县在海洋生物科学、新材料、机械制造等领域的技术与产业资源，对接医疗市场向终端基层下沉带来的新需求，重点生产安全可靠的血液分析仪、血液净化器等社区和农村基层应用的普及型医疗设备以及医用绷带、纱布、口罩、手术衣、医用橡皮膏、创口贴、医用手套、PVC手套、手术保护膜、医用透气胶带、透析液、血液透析管路、一次性注射器、输液器等医用敷料和耗材。</w:t>
      </w:r>
    </w:p>
    <w:p>
      <w:pPr>
        <w:adjustRightInd w:val="0"/>
        <w:snapToGrid w:val="0"/>
        <w:spacing w:before="156" w:beforeLines="50" w:after="156" w:afterLines="50" w:line="360" w:lineRule="auto"/>
        <w:ind w:firstLine="562" w:firstLineChars="200"/>
        <w:rPr>
          <w:rFonts w:ascii="Times New Roman" w:hAnsi="Times New Roman" w:cs="Times New Roman"/>
          <w:color w:val="000000"/>
          <w:sz w:val="28"/>
          <w:szCs w:val="32"/>
        </w:rPr>
      </w:pPr>
      <w:r>
        <w:rPr>
          <w:rFonts w:ascii="Times New Roman" w:hAnsi="Times New Roman" w:cs="Times New Roman"/>
          <w:b/>
          <w:color w:val="000000"/>
          <w:sz w:val="28"/>
          <w:szCs w:val="32"/>
        </w:rPr>
        <w:t>——重点发展海洋特色生物医药制品。</w:t>
      </w:r>
      <w:r>
        <w:rPr>
          <w:rFonts w:ascii="Times New Roman" w:hAnsi="Times New Roman" w:cs="Times New Roman"/>
          <w:color w:val="000000"/>
          <w:sz w:val="28"/>
          <w:szCs w:val="32"/>
        </w:rPr>
        <w:t>以“海上福州”建设为引领，依托福州新北生化、福建海神生物等企业，重点围绕海洋生物资源、海洋药物等领域，鼓励企业采用先进技术与设备重点推进临床诊断试剂、检验检疫快速检测试剂、诊断试剂重要生物原料（抗原、抗体、工具酶）等产品的研发。加大企业招引力度，加快推进抗菌、抗骨关节病、降血糖等海洋创新药物以及壳聚糖止血、特殊用海藻纤维及纺织材料等生物医用材料的开发。加强与福州大学、福建医科大学等高校、科研院所在海洋生物技术、生物制药工程等领域开展产学研对接，合作进行产品研发、技术推广、成果转化、人才培养，着力打造闽侯海洋生物医药产业特色品牌。</w:t>
      </w:r>
    </w:p>
    <w:p>
      <w:pPr>
        <w:keepNext/>
        <w:keepLines/>
        <w:spacing w:before="120" w:after="120" w:line="360" w:lineRule="auto"/>
        <w:jc w:val="left"/>
        <w:outlineLvl w:val="1"/>
        <w:rPr>
          <w:rFonts w:ascii="Times New Roman" w:hAnsi="Times New Roman" w:eastAsia="楷体_GB2312" w:cs="Times New Roman"/>
          <w:b/>
          <w:bCs/>
          <w:color w:val="000000"/>
          <w:kern w:val="0"/>
          <w:sz w:val="32"/>
          <w:szCs w:val="32"/>
        </w:rPr>
      </w:pPr>
      <w:bookmarkStart w:id="46" w:name="_Toc91669988"/>
      <w:r>
        <w:rPr>
          <w:rFonts w:ascii="Times New Roman" w:hAnsi="Times New Roman" w:eastAsia="黑体" w:cs="Times New Roman"/>
          <w:sz w:val="32"/>
          <w:szCs w:val="32"/>
        </w:rPr>
        <w:t>二、推动发展生产性服务业</w:t>
      </w:r>
      <w:bookmarkEnd w:id="46"/>
    </w:p>
    <w:p>
      <w:pPr>
        <w:keepNext/>
        <w:keepLines/>
        <w:spacing w:before="120" w:after="120" w:line="360" w:lineRule="auto"/>
        <w:jc w:val="left"/>
        <w:outlineLvl w:val="2"/>
        <w:rPr>
          <w:rFonts w:ascii="Times New Roman" w:hAnsi="Times New Roman" w:cs="Times New Roman"/>
          <w:b/>
          <w:bCs/>
          <w:sz w:val="30"/>
          <w:szCs w:val="32"/>
        </w:rPr>
      </w:pPr>
      <w:bookmarkStart w:id="47" w:name="_Toc91669989"/>
      <w:r>
        <w:rPr>
          <w:rFonts w:ascii="Times New Roman" w:hAnsi="Times New Roman" w:cs="Times New Roman"/>
          <w:b/>
          <w:bCs/>
          <w:sz w:val="30"/>
          <w:szCs w:val="32"/>
        </w:rPr>
        <w:t>（一）工业物流</w:t>
      </w:r>
      <w:bookmarkEnd w:id="47"/>
    </w:p>
    <w:p>
      <w:pPr>
        <w:adjustRightInd w:val="0"/>
        <w:snapToGrid w:val="0"/>
        <w:spacing w:before="156" w:beforeLines="50" w:after="156" w:afterLines="50" w:line="360" w:lineRule="auto"/>
        <w:ind w:firstLine="562" w:firstLineChars="200"/>
        <w:rPr>
          <w:rFonts w:ascii="Times New Roman" w:hAnsi="Times New Roman" w:cs="Times New Roman"/>
          <w:color w:val="000000"/>
          <w:sz w:val="28"/>
          <w:szCs w:val="32"/>
        </w:rPr>
      </w:pPr>
      <w:r>
        <w:rPr>
          <w:rFonts w:ascii="Times New Roman" w:hAnsi="Times New Roman" w:cs="Times New Roman"/>
          <w:b/>
          <w:color w:val="000000"/>
          <w:sz w:val="28"/>
          <w:szCs w:val="32"/>
        </w:rPr>
        <w:t>——加强技术赋能产业升级。</w:t>
      </w:r>
      <w:r>
        <w:rPr>
          <w:rFonts w:ascii="Times New Roman" w:hAnsi="Times New Roman" w:cs="Times New Roman"/>
          <w:color w:val="000000"/>
          <w:sz w:val="28"/>
          <w:szCs w:val="32"/>
        </w:rPr>
        <w:t>推进智慧物流建设，构建统一的物流信息数据库、物流公共信息平台和物流标准服务平台，建立制造企业和物流企业间的信息系统对接和物流信息共享机制。为制造业、快消品供应链研发智能物流平台系统，应用云计算、大数据、移动互联网、物联网及人工智能等先进技术，导入“网络货运平台”资质，实现线上平台+线下实体网络的深度融合。依托云物流服务平台形成云物流中心、结算中心、金融中心、集采中心四大业务群，延伸构建物流行业“共创•共享•共赢”的新生态格局。加快打造永辉超市、苏宁冻品在线等一批模式先进、协同性强、辐射力广的供应链协同平台、交易平台和综合服务平台，初步构建跨界融合、共享共生的供应链商业生态圈。依托移动互联、物联网、车联网等新技术，推动永辉、苏宁带动上下游企业应用标准托盘，建立标准托盘循环共用体系，促进物流链全程不倒托、不倒筐、可追踪和可溯源。</w:t>
      </w:r>
    </w:p>
    <w:p>
      <w:pPr>
        <w:adjustRightInd w:val="0"/>
        <w:snapToGrid w:val="0"/>
        <w:spacing w:before="156" w:beforeLines="50" w:after="156" w:afterLines="50" w:line="360" w:lineRule="auto"/>
        <w:ind w:firstLine="562" w:firstLineChars="200"/>
        <w:rPr>
          <w:rFonts w:ascii="Times New Roman" w:hAnsi="Times New Roman" w:cs="Times New Roman"/>
          <w:color w:val="000000"/>
          <w:sz w:val="28"/>
          <w:szCs w:val="32"/>
        </w:rPr>
      </w:pPr>
      <w:r>
        <w:rPr>
          <w:rFonts w:ascii="Times New Roman" w:hAnsi="Times New Roman" w:cs="Times New Roman"/>
          <w:b/>
          <w:color w:val="000000"/>
          <w:sz w:val="28"/>
          <w:szCs w:val="32"/>
        </w:rPr>
        <w:t>——延伸物流服务价值链。</w:t>
      </w:r>
      <w:r>
        <w:rPr>
          <w:rFonts w:ascii="Times New Roman" w:hAnsi="Times New Roman" w:cs="Times New Roman"/>
          <w:color w:val="000000"/>
          <w:sz w:val="28"/>
          <w:szCs w:val="32"/>
        </w:rPr>
        <w:t>鼓励支持“物流+商业”发展。引导大型企业将闽侯仓储点升级为区域采购、分销中心。引导物流仓储企业在农产品仓储、配送中心等业务基础上，将闽侯仓储点升级为区域采购、分销中心。鼓励拓展供应链金融业务。支持鼓励物流园区在发展仓储、配送业务外，拓展供应链金融等业务，开展采购代理、分销执行、预付货款、代收货款、仓单质押、联货联保、资金结算等金融业务，开发专门保险、担保交易、单证贴现等物流增值服务，提升园区服务水平。支持鼓励物流企业发挥综合优势和企业服务能力，以投资、合作、联盟等形式对外拓展业务。支持物流园区从单纯的仓储向物流产业链延伸，拓展物流功能。吸引大型快递企业布局建设区域总部，形成若干个服务本地、辐射周边的区域性快递分拨中心、电商快递物流一体化综合性园区，引导快递业集聚发展，提升集聚区的辐射能力，推进电子商务与快递物流协同发展。</w:t>
      </w:r>
    </w:p>
    <w:p>
      <w:pPr>
        <w:adjustRightInd w:val="0"/>
        <w:snapToGrid w:val="0"/>
        <w:spacing w:before="156" w:beforeLines="50" w:after="156" w:afterLines="50" w:line="360" w:lineRule="auto"/>
        <w:ind w:firstLine="562" w:firstLineChars="200"/>
        <w:rPr>
          <w:rFonts w:ascii="Times New Roman" w:hAnsi="Times New Roman" w:cs="Times New Roman"/>
          <w:color w:val="000000"/>
          <w:sz w:val="28"/>
          <w:szCs w:val="32"/>
        </w:rPr>
      </w:pPr>
      <w:r>
        <w:rPr>
          <w:rFonts w:ascii="Times New Roman" w:hAnsi="Times New Roman" w:cs="Times New Roman"/>
          <w:b/>
          <w:color w:val="000000"/>
          <w:sz w:val="28"/>
          <w:szCs w:val="32"/>
        </w:rPr>
        <w:t>——打造物流集聚区。</w:t>
      </w:r>
      <w:r>
        <w:rPr>
          <w:rFonts w:ascii="Times New Roman" w:hAnsi="Times New Roman" w:cs="Times New Roman"/>
          <w:color w:val="000000"/>
          <w:sz w:val="28"/>
          <w:szCs w:val="32"/>
        </w:rPr>
        <w:t>整合南通物流园区功能和优势，建设商贸服务型国家物流枢纽南通片区，形成商贸服务型国家物流枢纽。依托公路枢纽，形成青口汽车城物流中心，衔接公路干支线运输、转运、配送。依托南通批发市场、专业市场，结合国家商贸服务型物流枢纽建设，通过新建配建，以及改造提升现有物流设施，优化商贸物流集聚区空间布局，形成南通商贸物流集聚区。依托汽车产业集群，结合国家生产服务型物流枢纽建设，通过新建配建，以及改造提升现有物流设施，优化生产物流集聚区空间布局，形成青口镇生产物流集聚区。通过新建配建，以及改造提升现有物流资源，推进快递物流设施分类布局，优化梯级节点空间结构，在南通和荆溪地区，形成电商与快递物流（处理）配送中心集聚区；在闽侯青口地区形成快递物流园区，打造跨境电商与快递物流集聚区、邮政快递分拨中心。通过新建配建，以及改造提升现有物流设施，推进城市配送集聚区建设，在南通和荆溪地区，形成城市共同配送中心、应急物流中心，建设智慧城市配送物流集聚区。</w:t>
      </w:r>
    </w:p>
    <w:p>
      <w:pPr>
        <w:keepNext/>
        <w:keepLines/>
        <w:spacing w:before="120" w:after="120" w:line="360" w:lineRule="auto"/>
        <w:jc w:val="left"/>
        <w:outlineLvl w:val="2"/>
        <w:rPr>
          <w:rFonts w:ascii="Times New Roman" w:hAnsi="Times New Roman" w:cs="Times New Roman"/>
          <w:b/>
          <w:bCs/>
          <w:sz w:val="30"/>
          <w:szCs w:val="32"/>
        </w:rPr>
      </w:pPr>
      <w:bookmarkStart w:id="48" w:name="_Toc91669990"/>
      <w:r>
        <w:rPr>
          <w:rFonts w:ascii="Times New Roman" w:hAnsi="Times New Roman" w:cs="Times New Roman"/>
          <w:b/>
          <w:bCs/>
          <w:sz w:val="30"/>
          <w:szCs w:val="32"/>
        </w:rPr>
        <w:t>（二）科技服务</w:t>
      </w:r>
      <w:bookmarkEnd w:id="48"/>
    </w:p>
    <w:p>
      <w:pPr>
        <w:ind w:firstLine="562" w:firstLineChars="200"/>
        <w:rPr>
          <w:rFonts w:ascii="Times New Roman" w:hAnsi="Times New Roman" w:cs="Times New Roman"/>
          <w:sz w:val="28"/>
          <w:szCs w:val="28"/>
        </w:rPr>
      </w:pPr>
      <w:r>
        <w:rPr>
          <w:rFonts w:ascii="Times New Roman" w:hAnsi="Times New Roman" w:cs="Times New Roman"/>
          <w:b/>
          <w:sz w:val="28"/>
          <w:szCs w:val="28"/>
        </w:rPr>
        <w:t>——构建源头创新服务体系。</w:t>
      </w:r>
      <w:r>
        <w:rPr>
          <w:rFonts w:ascii="Times New Roman" w:hAnsi="Times New Roman" w:cs="Times New Roman"/>
          <w:sz w:val="28"/>
          <w:szCs w:val="28"/>
        </w:rPr>
        <w:t>重点对接国内外高校、科研院所、企业研发中心等科研机构，引进高校合作平台、企业研发中心，建设国家级工程（技术）研究中心、国家工程实验室、企业研发和技术中心、科研中试基地等，释放高等学校和科研机构研发服务活力，强化源头创新。鼓励企业、高校院所、科研机构成立服务业战略联盟，引导研发设计、创新要素向企业聚集，吸引跨国科技与服务企业在闽侯设立研发中心，或与本地企业、科研院所、大学共同成立研发机构。鼓励跨国公司研发中心开展本土化的技术创新活动，加强同闽侯产业经济和科技活动的联系，发挥人才和技术溢出效应。支持研发型企业参与重点实验室、工程研究中心、技术创新中心等建设。在高精尖产业领域布局建设若干产业创新中心，加强新技术领域创新，积极发展云计算、大数据、5G、物联网、区块链等技术在科创领域的研发和应用，提升闽侯县重点行业的智能化水平。加速研发设计公共服务平台建设，通过共性关键技术研发、人才培训与技术咨询等方式，全面推动源头创新。</w:t>
      </w:r>
    </w:p>
    <w:p>
      <w:pPr>
        <w:ind w:firstLine="562" w:firstLineChars="200"/>
        <w:rPr>
          <w:rFonts w:ascii="Times New Roman" w:hAnsi="Times New Roman" w:cs="Times New Roman"/>
          <w:sz w:val="28"/>
          <w:szCs w:val="28"/>
        </w:rPr>
      </w:pPr>
      <w:r>
        <w:rPr>
          <w:rFonts w:ascii="Times New Roman" w:hAnsi="Times New Roman" w:cs="Times New Roman"/>
          <w:b/>
          <w:sz w:val="28"/>
          <w:szCs w:val="28"/>
        </w:rPr>
        <w:t>——完善成果转化服务体系。</w:t>
      </w:r>
      <w:r>
        <w:rPr>
          <w:rFonts w:ascii="Times New Roman" w:hAnsi="Times New Roman" w:cs="Times New Roman"/>
          <w:sz w:val="28"/>
          <w:szCs w:val="28"/>
        </w:rPr>
        <w:t>依托旗山湖三创园空间载体，打造技术创新区、智能创客街区、高端硏发区、智能共享区、创新数据硏发区、科创服务区、信息数据区、高端服务区等功能集聚区，加快推进</w:t>
      </w:r>
      <w:r>
        <w:rPr>
          <w:rFonts w:hint="eastAsia" w:ascii="Times New Roman" w:hAnsi="Times New Roman" w:cs="Times New Roman"/>
          <w:sz w:val="28"/>
          <w:szCs w:val="28"/>
        </w:rPr>
        <w:t>“</w:t>
      </w:r>
      <w:r>
        <w:rPr>
          <w:rFonts w:ascii="Times New Roman" w:hAnsi="Times New Roman" w:cs="Times New Roman"/>
          <w:sz w:val="28"/>
          <w:szCs w:val="28"/>
        </w:rPr>
        <w:t>众创空间</w:t>
      </w:r>
      <w:r>
        <w:rPr>
          <w:rFonts w:hint="eastAsia" w:ascii="Times New Roman" w:hAnsi="Times New Roman" w:cs="Times New Roman"/>
          <w:sz w:val="28"/>
          <w:szCs w:val="28"/>
        </w:rPr>
        <w:t>—</w:t>
      </w:r>
      <w:r>
        <w:rPr>
          <w:rFonts w:ascii="Times New Roman" w:hAnsi="Times New Roman" w:cs="Times New Roman"/>
          <w:sz w:val="28"/>
          <w:szCs w:val="28"/>
        </w:rPr>
        <w:t>孵化器</w:t>
      </w:r>
      <w:r>
        <w:rPr>
          <w:rFonts w:hint="eastAsia" w:ascii="Times New Roman" w:hAnsi="Times New Roman" w:cs="Times New Roman"/>
          <w:sz w:val="28"/>
          <w:szCs w:val="28"/>
        </w:rPr>
        <w:t>—</w:t>
      </w:r>
      <w:r>
        <w:rPr>
          <w:rFonts w:ascii="Times New Roman" w:hAnsi="Times New Roman" w:cs="Times New Roman"/>
          <w:sz w:val="28"/>
          <w:szCs w:val="28"/>
        </w:rPr>
        <w:t>加速器</w:t>
      </w:r>
      <w:r>
        <w:rPr>
          <w:rFonts w:hint="eastAsia" w:ascii="Times New Roman" w:hAnsi="Times New Roman" w:cs="Times New Roman"/>
          <w:sz w:val="28"/>
          <w:szCs w:val="28"/>
        </w:rPr>
        <w:t>—</w:t>
      </w:r>
      <w:r>
        <w:rPr>
          <w:rFonts w:ascii="Times New Roman" w:hAnsi="Times New Roman" w:cs="Times New Roman"/>
          <w:sz w:val="28"/>
          <w:szCs w:val="28"/>
        </w:rPr>
        <w:t>产业园区</w:t>
      </w:r>
      <w:r>
        <w:rPr>
          <w:rFonts w:hint="eastAsia" w:ascii="Times New Roman" w:hAnsi="Times New Roman" w:cs="Times New Roman"/>
          <w:sz w:val="28"/>
          <w:szCs w:val="28"/>
        </w:rPr>
        <w:t>”</w:t>
      </w:r>
      <w:r>
        <w:rPr>
          <w:rFonts w:ascii="Times New Roman" w:hAnsi="Times New Roman" w:cs="Times New Roman"/>
          <w:sz w:val="28"/>
          <w:szCs w:val="28"/>
        </w:rPr>
        <w:t>科技创业孵化链发展和市场化运作。积极招引技术转移服务机构，支持服务机构和企业探索新型技术转移合作模式。建设科技成果转移转化平台，加大对科技成果中试熟化环节的支持力度，提升技术市场服务机构专业化水平，积极发展基于大数据、云计算、移动互联网等信息技术的新型服务。不断完善知识产权代理、法律、信息等基础服务，大力发展知识产权评估、价值分析、交易、转化、投融资、运营、托管、商用化、咨询等高附加值服务，为科技创新提供知识产权保障。支持第三方检验检测机构拓展服务领域，积极推动检验检测公共服务平台建设，为技术创新和质量管控提供全过程检验检测服务。</w:t>
      </w:r>
    </w:p>
    <w:p>
      <w:pPr>
        <w:ind w:firstLine="562" w:firstLineChars="200"/>
        <w:rPr>
          <w:rFonts w:ascii="Times New Roman" w:hAnsi="Times New Roman" w:cs="Times New Roman"/>
          <w:sz w:val="28"/>
          <w:szCs w:val="28"/>
        </w:rPr>
      </w:pPr>
      <w:r>
        <w:rPr>
          <w:rFonts w:ascii="Times New Roman" w:hAnsi="Times New Roman" w:cs="Times New Roman"/>
          <w:b/>
          <w:sz w:val="28"/>
          <w:szCs w:val="28"/>
        </w:rPr>
        <w:t>——打造产业+科技服务体系。</w:t>
      </w:r>
      <w:r>
        <w:rPr>
          <w:rFonts w:ascii="Times New Roman" w:hAnsi="Times New Roman" w:cs="Times New Roman"/>
          <w:sz w:val="28"/>
          <w:szCs w:val="28"/>
        </w:rPr>
        <w:t>围绕汽车、新材料、光电、机电、海洋技术等领域，构建覆盖产品研发、工业设计、实验认证、测试服务的全生命周期技术服务体系。积极招引公共设计服务机构，探索构建专业化设计服务与先进制造业集群互动发展的新机制，推动研发设计服务领域的延伸和服务模式的升级。完善针对产业科技的多元化投融资服务体系，延伸科技服务产业链。积极发展战略咨询、管理咨询、工程咨询、信息咨询等专业化咨询业务，着力培育管理服务外包等科技咨询新业态，加强高水平科技咨询智库建设。针对制造企业开展科技咨询与评估、知识产权服务、产品技术监督和认证、产业公共技术平台建设等服务。</w:t>
      </w:r>
    </w:p>
    <w:p>
      <w:pPr>
        <w:adjustRightInd w:val="0"/>
        <w:snapToGrid w:val="0"/>
        <w:spacing w:before="156" w:beforeLines="50" w:after="156" w:afterLines="50" w:line="360" w:lineRule="auto"/>
        <w:ind w:firstLine="420" w:firstLineChars="200"/>
        <w:rPr>
          <w:rFonts w:ascii="Times New Roman" w:hAnsi="Times New Roman" w:eastAsia="仿宋_GB2312" w:cs="Times New Roman"/>
          <w:color w:val="000000"/>
          <w:sz w:val="28"/>
          <w:szCs w:val="32"/>
        </w:rPr>
      </w:pPr>
      <w:r>
        <w:rPr>
          <w:rFonts w:ascii="Times New Roman" w:hAnsi="Times New Roman" w:eastAsia="宋体" w:cs="Times New Roman"/>
          <w:szCs w:val="24"/>
        </w:rPr>
        <w:br w:type="page"/>
      </w:r>
    </w:p>
    <w:p>
      <w:pPr>
        <w:keepNext/>
        <w:keepLines/>
        <w:spacing w:before="120" w:after="120" w:line="578" w:lineRule="auto"/>
        <w:jc w:val="center"/>
        <w:outlineLvl w:val="0"/>
        <w:rPr>
          <w:rFonts w:ascii="Times New Roman" w:hAnsi="Times New Roman" w:eastAsia="华文仿宋" w:cs="Times New Roman"/>
          <w:b/>
          <w:bCs/>
          <w:kern w:val="44"/>
          <w:sz w:val="28"/>
          <w:szCs w:val="28"/>
        </w:rPr>
      </w:pPr>
      <w:bookmarkStart w:id="49" w:name="_Toc91669991"/>
      <w:r>
        <w:rPr>
          <w:rFonts w:ascii="Times New Roman" w:hAnsi="Times New Roman" w:eastAsia="黑体" w:cs="Times New Roman"/>
          <w:b/>
          <w:bCs/>
          <w:kern w:val="44"/>
          <w:sz w:val="36"/>
          <w:szCs w:val="44"/>
        </w:rPr>
        <w:t>第四章</w:t>
      </w:r>
      <w:r>
        <w:rPr>
          <w:rFonts w:hint="eastAsia" w:ascii="Times New Roman" w:hAnsi="Times New Roman" w:eastAsia="黑体" w:cs="Times New Roman"/>
          <w:b/>
          <w:bCs/>
          <w:kern w:val="44"/>
          <w:sz w:val="36"/>
          <w:szCs w:val="44"/>
        </w:rPr>
        <w:t xml:space="preserve"> </w:t>
      </w:r>
      <w:r>
        <w:rPr>
          <w:rFonts w:ascii="Times New Roman" w:hAnsi="Times New Roman" w:eastAsia="黑体" w:cs="Times New Roman"/>
          <w:b/>
          <w:bCs/>
          <w:kern w:val="44"/>
          <w:sz w:val="36"/>
          <w:szCs w:val="44"/>
        </w:rPr>
        <w:t>加快工业转型升级</w:t>
      </w:r>
      <w:bookmarkEnd w:id="49"/>
    </w:p>
    <w:p>
      <w:pPr>
        <w:keepNext/>
        <w:keepLines/>
        <w:spacing w:before="120" w:after="120" w:line="360" w:lineRule="auto"/>
        <w:jc w:val="left"/>
        <w:outlineLvl w:val="1"/>
        <w:rPr>
          <w:rFonts w:ascii="Times New Roman" w:hAnsi="Times New Roman" w:eastAsia="黑体" w:cs="Times New Roman"/>
          <w:b/>
          <w:bCs/>
          <w:sz w:val="32"/>
          <w:szCs w:val="32"/>
        </w:rPr>
      </w:pPr>
      <w:bookmarkStart w:id="50" w:name="_Toc91669992"/>
      <w:r>
        <w:rPr>
          <w:rFonts w:ascii="Times New Roman" w:hAnsi="Times New Roman" w:eastAsia="黑体" w:cs="Times New Roman"/>
          <w:b/>
          <w:bCs/>
          <w:sz w:val="32"/>
          <w:szCs w:val="32"/>
        </w:rPr>
        <w:t>一、提升工业创新能力</w:t>
      </w:r>
      <w:bookmarkEnd w:id="50"/>
    </w:p>
    <w:p>
      <w:pPr>
        <w:adjustRightInd w:val="0"/>
        <w:snapToGrid w:val="0"/>
        <w:spacing w:before="156" w:beforeLines="50" w:after="156" w:afterLines="50" w:line="360" w:lineRule="auto"/>
        <w:ind w:firstLine="562" w:firstLineChars="200"/>
        <w:rPr>
          <w:rFonts w:ascii="Times New Roman" w:hAnsi="Times New Roman" w:cs="Times New Roman"/>
          <w:color w:val="000000"/>
          <w:sz w:val="28"/>
          <w:szCs w:val="32"/>
        </w:rPr>
      </w:pPr>
      <w:r>
        <w:rPr>
          <w:rFonts w:hint="eastAsia" w:ascii="Times New Roman" w:hAnsi="Times New Roman" w:cs="Times New Roman"/>
          <w:b/>
          <w:color w:val="000000"/>
          <w:sz w:val="28"/>
          <w:szCs w:val="32"/>
        </w:rPr>
        <w:t>强化工业基础创新能力。</w:t>
      </w:r>
      <w:r>
        <w:rPr>
          <w:rFonts w:hint="eastAsia" w:ascii="Times New Roman" w:hAnsi="Times New Roman" w:cs="Times New Roman"/>
          <w:color w:val="000000"/>
          <w:sz w:val="28"/>
          <w:szCs w:val="32"/>
        </w:rPr>
        <w:t>加强工业基础建设，提升工业基础能力，建立与工业发展相协调、技术起点高的工业基础体系，在整车制造、汽车零部件、机电制造、工艺品加工等优势产业领域实现核心基础零部件（</w:t>
      </w:r>
      <w:r>
        <w:rPr>
          <w:rFonts w:ascii="Times New Roman" w:hAnsi="Times New Roman" w:cs="Times New Roman"/>
          <w:color w:val="000000"/>
          <w:sz w:val="28"/>
          <w:szCs w:val="32"/>
        </w:rPr>
        <w:t>元器件</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、关键基础材料安全可控。发挥政府的重要引导作用，夯实制造强县建设基础，深化工业强基与数字化、信息化技术深度融合。发挥产学研用积极性，组建联盟，协同创新建立一批创新研究中心。</w:t>
      </w:r>
    </w:p>
    <w:p>
      <w:pPr>
        <w:adjustRightInd w:val="0"/>
        <w:snapToGrid w:val="0"/>
        <w:spacing w:before="156" w:beforeLines="50" w:after="156" w:afterLines="50" w:line="360" w:lineRule="auto"/>
        <w:ind w:firstLine="562" w:firstLineChars="200"/>
        <w:rPr>
          <w:rFonts w:ascii="Times New Roman" w:hAnsi="Times New Roman" w:cs="Times New Roman"/>
          <w:color w:val="000000"/>
          <w:sz w:val="28"/>
          <w:szCs w:val="32"/>
        </w:rPr>
      </w:pPr>
      <w:r>
        <w:rPr>
          <w:rFonts w:hint="eastAsia" w:ascii="Times New Roman" w:hAnsi="Times New Roman" w:cs="Times New Roman"/>
          <w:b/>
          <w:color w:val="000000"/>
          <w:sz w:val="28"/>
          <w:szCs w:val="32"/>
        </w:rPr>
        <w:t>提升工业互联网创新能力。</w:t>
      </w:r>
      <w:r>
        <w:rPr>
          <w:rFonts w:hint="eastAsia" w:ascii="Times New Roman" w:hAnsi="Times New Roman" w:cs="Times New Roman"/>
          <w:color w:val="000000"/>
          <w:sz w:val="28"/>
          <w:szCs w:val="32"/>
        </w:rPr>
        <w:t>打通产业和行业融通的“梗阻”，扩大工业互联网创新发展范围，打破应用和数据壁垒，深化工业互联网创新发展程度。打造生态和体系建设，提升工业互联网创新发展水平，在汽车制造、食品加工等本地优势产业领域，鼓励东南汽车、福建奔驰等龙头企业布局相关创新方向，建立技术研发中心；依托龙头企业建设行业细分领域云平台，形成全行业共同参与、上下互联的行业工业互联网平台，并向县内行业内中小企业提供相关云服务。</w:t>
      </w:r>
    </w:p>
    <w:p>
      <w:pPr>
        <w:adjustRightInd w:val="0"/>
        <w:snapToGrid w:val="0"/>
        <w:spacing w:before="156" w:beforeLines="50" w:after="156" w:afterLines="50" w:line="360" w:lineRule="auto"/>
        <w:ind w:firstLine="562" w:firstLineChars="200"/>
        <w:rPr>
          <w:rFonts w:ascii="Times New Roman" w:hAnsi="Times New Roman" w:cs="Times New Roman"/>
          <w:color w:val="000000"/>
          <w:sz w:val="28"/>
          <w:szCs w:val="32"/>
        </w:rPr>
      </w:pPr>
      <w:r>
        <w:rPr>
          <w:rFonts w:hint="eastAsia" w:ascii="Times New Roman" w:hAnsi="Times New Roman" w:cs="Times New Roman"/>
          <w:b/>
          <w:color w:val="000000"/>
          <w:sz w:val="28"/>
          <w:szCs w:val="32"/>
        </w:rPr>
        <w:t>加强协同创新能力建设。</w:t>
      </w:r>
      <w:r>
        <w:rPr>
          <w:rFonts w:hint="eastAsia" w:ascii="Times New Roman" w:hAnsi="Times New Roman" w:cs="Times New Roman"/>
          <w:color w:val="000000"/>
          <w:sz w:val="28"/>
          <w:szCs w:val="32"/>
        </w:rPr>
        <w:t>发挥东南汽车、福特科、祥鑫股份等行业骨干企业的主导作用，鼓励企业与省内高等院校、科研院所合作建立一批产业创新联盟，开展政产学研用协同创新，攻克一批对产业竞争力整体提升具有全局性影响、带动性强的关键共性技术。建设一批促进制造业协同创新的公共服务平台。面向高端装备制造业关键共性技术，鼓励本地龙头企业建设一批重大科学研究和实验设施，提高企业系统集成能力，促进向产业价值链向高端延伸。探索创建“产学研用”技术创新联盟，优先支持有条件的企业牵头承担重大科技产业化项目。</w:t>
      </w:r>
    </w:p>
    <w:p>
      <w:pPr>
        <w:keepNext/>
        <w:keepLines/>
        <w:spacing w:before="120" w:after="120" w:line="360" w:lineRule="auto"/>
        <w:jc w:val="left"/>
        <w:outlineLvl w:val="1"/>
        <w:rPr>
          <w:rFonts w:ascii="Times New Roman" w:hAnsi="Times New Roman" w:eastAsia="黑体" w:cs="Times New Roman"/>
          <w:b/>
          <w:bCs/>
          <w:sz w:val="32"/>
          <w:szCs w:val="32"/>
        </w:rPr>
      </w:pPr>
      <w:bookmarkStart w:id="51" w:name="_Toc91669993"/>
      <w:r>
        <w:rPr>
          <w:rFonts w:ascii="Times New Roman" w:hAnsi="Times New Roman" w:eastAsia="黑体" w:cs="Times New Roman"/>
          <w:b/>
          <w:bCs/>
          <w:sz w:val="32"/>
          <w:szCs w:val="32"/>
        </w:rPr>
        <w:t>二、工业绿色低碳发展</w:t>
      </w:r>
      <w:bookmarkEnd w:id="51"/>
    </w:p>
    <w:p>
      <w:pPr>
        <w:adjustRightInd w:val="0"/>
        <w:snapToGrid w:val="0"/>
        <w:spacing w:before="156" w:beforeLines="50" w:after="156" w:afterLines="50" w:line="360" w:lineRule="auto"/>
        <w:ind w:firstLine="562" w:firstLineChars="200"/>
        <w:rPr>
          <w:rFonts w:ascii="Times New Roman" w:hAnsi="Times New Roman" w:cs="Times New Roman"/>
          <w:color w:val="000000"/>
          <w:sz w:val="28"/>
          <w:szCs w:val="32"/>
        </w:rPr>
      </w:pPr>
      <w:r>
        <w:rPr>
          <w:rFonts w:hint="eastAsia" w:ascii="Times New Roman" w:hAnsi="Times New Roman" w:cs="Times New Roman"/>
          <w:b/>
          <w:color w:val="000000"/>
          <w:sz w:val="28"/>
          <w:szCs w:val="32"/>
        </w:rPr>
        <w:t>大力推进绿色低碳与节能降耗。</w:t>
      </w:r>
      <w:r>
        <w:rPr>
          <w:rFonts w:hint="eastAsia" w:ascii="Times New Roman" w:hAnsi="Times New Roman" w:cs="Times New Roman"/>
          <w:color w:val="000000"/>
          <w:sz w:val="28"/>
          <w:szCs w:val="32"/>
        </w:rPr>
        <w:t>贯彻落实新一轮“海上福州”行动方案，推动生产方式绿色低碳化转型，鼓励企业加大对先进节能环保技术、工艺和装备的应用力度。大力推广余热余压回收、水循环利用、重金属污染减量化、有毒有害原料替代、废渣资源化、脱硫脱硝除尘等绿色工艺技术装备。强化绿色制造体系，增加绿色厂房建设。加强对重点企业用能监管，实行企业用能与企业规模、效益、税收贡献相挂钩，着力抓好电力、水泥、纺织等重点工业领域节能降耗工作，推行低碳化、循环化和集约化的生产方式，提高制造业资源利用效率。</w:t>
      </w:r>
    </w:p>
    <w:p>
      <w:pPr>
        <w:adjustRightInd w:val="0"/>
        <w:snapToGrid w:val="0"/>
        <w:spacing w:before="156" w:beforeLines="50" w:after="156" w:afterLines="50" w:line="360" w:lineRule="auto"/>
        <w:ind w:firstLine="562" w:firstLineChars="200"/>
        <w:rPr>
          <w:rFonts w:ascii="Times New Roman" w:hAnsi="Times New Roman" w:cs="Times New Roman"/>
          <w:color w:val="000000"/>
          <w:sz w:val="28"/>
          <w:szCs w:val="32"/>
        </w:rPr>
      </w:pPr>
      <w:r>
        <w:rPr>
          <w:rFonts w:hint="eastAsia" w:ascii="Times New Roman" w:hAnsi="Times New Roman" w:cs="Times New Roman"/>
          <w:b/>
          <w:color w:val="000000"/>
          <w:sz w:val="28"/>
          <w:szCs w:val="32"/>
        </w:rPr>
        <w:t>大力促进清洁生产。</w:t>
      </w:r>
      <w:r>
        <w:rPr>
          <w:rFonts w:hint="eastAsia" w:ascii="Times New Roman" w:hAnsi="Times New Roman" w:cs="Times New Roman"/>
          <w:color w:val="000000"/>
          <w:sz w:val="28"/>
          <w:szCs w:val="32"/>
        </w:rPr>
        <w:t>鼓励企业推进生产技术和装备绿色化改造，应用清洁高效铸造、锻压、焊接、表面处理、切削等加工工艺，实现绿色生产。重点支持汽车制造、建筑建材、工艺品加工等重点行业建设企业清洁生产技术开发平台示范项目，推动清洁生产技术创新。引导企业积极开展清洁生产，鼓励企业推进技术进步、加大资金投入和改进企业管理，提高资源利用效率。</w:t>
      </w:r>
    </w:p>
    <w:p>
      <w:pPr>
        <w:adjustRightInd w:val="0"/>
        <w:snapToGrid w:val="0"/>
        <w:spacing w:before="156" w:beforeLines="50" w:after="156" w:afterLines="50" w:line="360" w:lineRule="auto"/>
        <w:ind w:firstLine="562" w:firstLineChars="200"/>
        <w:rPr>
          <w:rFonts w:ascii="Times New Roman" w:hAnsi="Times New Roman" w:cs="Times New Roman"/>
          <w:color w:val="000000"/>
          <w:sz w:val="28"/>
          <w:szCs w:val="32"/>
        </w:rPr>
      </w:pPr>
      <w:r>
        <w:rPr>
          <w:rFonts w:hint="eastAsia" w:ascii="Times New Roman" w:hAnsi="Times New Roman" w:cs="Times New Roman"/>
          <w:b/>
          <w:color w:val="000000"/>
          <w:sz w:val="28"/>
          <w:szCs w:val="32"/>
        </w:rPr>
        <w:t>积极发展循环经济。</w:t>
      </w:r>
      <w:r>
        <w:rPr>
          <w:rFonts w:hint="eastAsia" w:ascii="Times New Roman" w:hAnsi="Times New Roman" w:cs="Times New Roman"/>
          <w:color w:val="000000"/>
          <w:sz w:val="28"/>
          <w:szCs w:val="32"/>
        </w:rPr>
        <w:t>推进建设一批循环经济项目，培育一批循环经济示范企业，创建循环经济示范园区，推动循环经济工作开展。有序推进工业园区生态化改造，发展主导产业链型生态产业园区。推进资源再生利用产业规范化、规模化发展，提高大宗工业固体废弃物、废旧金属、废弃电器电子产品等综合利用水平。大力发展再制造产业，实施高端再制造、智能再制造、在役再制造，促进再制造产业持续健康发展。</w:t>
      </w:r>
    </w:p>
    <w:p>
      <w:pPr>
        <w:keepNext/>
        <w:keepLines/>
        <w:spacing w:before="120" w:after="120" w:line="360" w:lineRule="auto"/>
        <w:jc w:val="left"/>
        <w:outlineLvl w:val="1"/>
        <w:rPr>
          <w:rFonts w:ascii="Times New Roman" w:hAnsi="Times New Roman" w:eastAsia="黑体" w:cs="Times New Roman"/>
          <w:b/>
          <w:bCs/>
          <w:sz w:val="32"/>
          <w:szCs w:val="32"/>
        </w:rPr>
      </w:pPr>
      <w:bookmarkStart w:id="52" w:name="_Toc91669994"/>
      <w:r>
        <w:rPr>
          <w:rFonts w:ascii="Times New Roman" w:hAnsi="Times New Roman" w:eastAsia="黑体" w:cs="Times New Roman"/>
          <w:b/>
          <w:bCs/>
          <w:sz w:val="32"/>
          <w:szCs w:val="32"/>
        </w:rPr>
        <w:t>三、促进企业协调发展</w:t>
      </w:r>
      <w:bookmarkEnd w:id="52"/>
    </w:p>
    <w:p>
      <w:pPr>
        <w:adjustRightInd w:val="0"/>
        <w:snapToGrid w:val="0"/>
        <w:spacing w:before="156" w:beforeLines="50" w:after="156" w:afterLines="50" w:line="360" w:lineRule="auto"/>
        <w:ind w:firstLine="562" w:firstLineChars="200"/>
        <w:rPr>
          <w:rFonts w:ascii="Times New Roman" w:hAnsi="Times New Roman" w:cs="Times New Roman"/>
          <w:color w:val="000000"/>
          <w:sz w:val="28"/>
          <w:szCs w:val="32"/>
        </w:rPr>
      </w:pPr>
      <w:r>
        <w:rPr>
          <w:rFonts w:hint="eastAsia" w:ascii="Times New Roman" w:hAnsi="Times New Roman" w:cs="Times New Roman"/>
          <w:b/>
          <w:color w:val="000000"/>
          <w:sz w:val="28"/>
          <w:szCs w:val="32"/>
        </w:rPr>
        <w:t>培育具有核心竞争力的大企业集团。</w:t>
      </w:r>
      <w:r>
        <w:rPr>
          <w:rFonts w:hint="eastAsia" w:ascii="Times New Roman" w:hAnsi="Times New Roman" w:cs="Times New Roman"/>
          <w:color w:val="000000"/>
          <w:sz w:val="28"/>
          <w:szCs w:val="32"/>
        </w:rPr>
        <w:t>按照“龙头带动—配套延伸—整体提升”的路径培育和打造产业生态，积极引进和培育关联性大、带动性强、控制产业链战略环节的大企业、大集团。重点在汽车制造、机电制造、信息技术、工艺品加工等领域打造一批品牌价值高、规模大、实力强、拥有核心技术和自主知识产权的大企业集团，带动产业提升整体实力。以产业龙头企业带动配套产业发展，推进行业内与行业间的企业兼并重组，充分发挥龙头企业辐射、示范、信息扩散和销售网络的带动作用，形成集群发展的产业格局。大力培育福建奔驰、</w:t>
      </w:r>
      <w:r>
        <w:rPr>
          <w:rFonts w:hint="eastAsia" w:ascii="Times New Roman" w:hAnsi="Times New Roman" w:cs="Times New Roman"/>
          <w:sz w:val="28"/>
          <w:szCs w:val="32"/>
        </w:rPr>
        <w:t>闽兴</w:t>
      </w:r>
      <w:r>
        <w:rPr>
          <w:rFonts w:hint="eastAsia" w:ascii="Times New Roman" w:hAnsi="Times New Roman" w:cs="Times New Roman"/>
          <w:color w:val="000000"/>
          <w:sz w:val="28"/>
          <w:szCs w:val="32"/>
        </w:rPr>
        <w:t>工艺品、贝奇食品、祥鑫股份、福特科光电、广泰机械、东南汽车、大世界橄榄等一批强优大企业，形成一批具有较大影响力和较强竞争力的“旗舰”企业。</w:t>
      </w:r>
    </w:p>
    <w:p>
      <w:pPr>
        <w:adjustRightInd w:val="0"/>
        <w:snapToGrid w:val="0"/>
        <w:spacing w:before="156" w:beforeLines="50" w:after="156" w:afterLines="50" w:line="360" w:lineRule="auto"/>
        <w:ind w:firstLine="562" w:firstLineChars="200"/>
        <w:rPr>
          <w:rFonts w:ascii="Times New Roman" w:hAnsi="Times New Roman" w:cs="Times New Roman"/>
          <w:color w:val="000000"/>
          <w:sz w:val="28"/>
          <w:szCs w:val="32"/>
        </w:rPr>
      </w:pPr>
      <w:r>
        <w:rPr>
          <w:rFonts w:hint="eastAsia" w:ascii="Times New Roman" w:hAnsi="Times New Roman" w:cs="Times New Roman"/>
          <w:b/>
          <w:color w:val="000000"/>
          <w:sz w:val="28"/>
          <w:szCs w:val="32"/>
        </w:rPr>
        <w:t>加快中小微企业发展。</w:t>
      </w:r>
      <w:r>
        <w:rPr>
          <w:rFonts w:hint="eastAsia" w:ascii="Times New Roman" w:hAnsi="Times New Roman" w:cs="Times New Roman"/>
          <w:color w:val="000000"/>
          <w:sz w:val="28"/>
          <w:szCs w:val="32"/>
        </w:rPr>
        <w:t>以亿元企业为抓手，通过技术改造、资产重组、招商引资、盘活存量、扩大生产规模等方式，扶持一批中小企业做强、做大。围绕重点企业和重大项目，组织中小企业为大型企业生产提供协作配套，支持大型企业为中小企业提供供应链金融服务，加快培育与汽车制造、工艺品制造、电子信息、食品饮料、纺织服装等关联度较强的中小企业集群。重点培育一批基础较好、潜力较大、行业带动性较强的中小企业，推动其开展专业生产、精益管理、自主创新、集约经营、品牌运作。以综合性和专业性两类服务机构及小微企业互助机构为载体，整合社会服务资源，打造开放性、一站式“普惠制”的小微企业公共服务体系，积极为小微企业提供企业融资、创业辅导、管理咨询、人才培养、信息化建设等各项优质服务。</w:t>
      </w:r>
    </w:p>
    <w:p>
      <w:pPr>
        <w:keepNext/>
        <w:keepLines/>
        <w:spacing w:before="120" w:after="120" w:line="360" w:lineRule="auto"/>
        <w:jc w:val="left"/>
        <w:outlineLvl w:val="1"/>
        <w:rPr>
          <w:rFonts w:ascii="Times New Roman" w:hAnsi="Times New Roman" w:eastAsia="黑体" w:cs="Times New Roman"/>
          <w:b/>
          <w:bCs/>
          <w:sz w:val="32"/>
          <w:szCs w:val="32"/>
        </w:rPr>
      </w:pPr>
      <w:bookmarkStart w:id="53" w:name="_Toc91669995"/>
      <w:r>
        <w:rPr>
          <w:rFonts w:ascii="Times New Roman" w:hAnsi="Times New Roman" w:eastAsia="黑体" w:cs="Times New Roman"/>
          <w:b/>
          <w:bCs/>
          <w:sz w:val="32"/>
          <w:szCs w:val="32"/>
        </w:rPr>
        <w:t>四、布局推进两化融合</w:t>
      </w:r>
      <w:bookmarkEnd w:id="53"/>
    </w:p>
    <w:p>
      <w:pPr>
        <w:adjustRightInd w:val="0"/>
        <w:snapToGrid w:val="0"/>
        <w:spacing w:before="156" w:beforeLines="50" w:after="156" w:afterLines="50" w:line="360" w:lineRule="auto"/>
        <w:ind w:firstLine="562" w:firstLineChars="200"/>
        <w:rPr>
          <w:rFonts w:ascii="Times New Roman" w:hAnsi="Times New Roman" w:cs="Times New Roman"/>
          <w:color w:val="000000"/>
          <w:sz w:val="28"/>
          <w:szCs w:val="32"/>
        </w:rPr>
      </w:pPr>
      <w:r>
        <w:rPr>
          <w:rFonts w:hint="eastAsia" w:ascii="Times New Roman" w:hAnsi="Times New Roman" w:cs="Times New Roman"/>
          <w:b/>
          <w:color w:val="000000"/>
          <w:sz w:val="28"/>
          <w:szCs w:val="32"/>
        </w:rPr>
        <w:t>深入推广两化融合管理体系。</w:t>
      </w:r>
      <w:r>
        <w:rPr>
          <w:rFonts w:hint="eastAsia" w:ascii="Times New Roman" w:hAnsi="Times New Roman" w:cs="Times New Roman"/>
          <w:color w:val="000000"/>
          <w:sz w:val="28"/>
          <w:szCs w:val="32"/>
        </w:rPr>
        <w:t>深入开展企业两化融合管理体系（贯标）试点和推广工作，推动企业建立、实施和改进管理体系。引进和建立一批两化融合管理体系贯标咨询服务机构，开展咨询、培训、认定等专业化服务。建立常态工作制度，全面开展企业两化融合评估诊断和对标引导，鼓励企业充分利用国家两化融合评估系统数据库开展自我诊断评估，主动找出差距，增强两化融合工作的针对性。参照国家的评估标准，定期组织开展全县两化融合发展水平评估。</w:t>
      </w:r>
    </w:p>
    <w:p>
      <w:pPr>
        <w:adjustRightInd w:val="0"/>
        <w:snapToGrid w:val="0"/>
        <w:spacing w:before="156" w:beforeLines="50" w:after="156" w:afterLines="50" w:line="360" w:lineRule="auto"/>
        <w:ind w:firstLine="562" w:firstLineChars="200"/>
        <w:rPr>
          <w:rFonts w:ascii="Times New Roman" w:hAnsi="Times New Roman" w:cs="Times New Roman"/>
          <w:color w:val="000000"/>
          <w:sz w:val="28"/>
          <w:szCs w:val="32"/>
        </w:rPr>
      </w:pPr>
      <w:r>
        <w:rPr>
          <w:rFonts w:hint="eastAsia" w:ascii="Times New Roman" w:hAnsi="Times New Roman" w:cs="Times New Roman"/>
          <w:b/>
          <w:color w:val="000000"/>
          <w:sz w:val="28"/>
          <w:szCs w:val="32"/>
        </w:rPr>
        <w:t>推动发展智能制造。</w:t>
      </w:r>
      <w:r>
        <w:rPr>
          <w:rFonts w:hint="eastAsia" w:ascii="Times New Roman" w:hAnsi="Times New Roman" w:cs="Times New Roman"/>
          <w:color w:val="000000"/>
          <w:sz w:val="28"/>
          <w:szCs w:val="32"/>
        </w:rPr>
        <w:t>以数字化、网络化、智能化制造为抓手，开展先进制造创新试点，发展以人机智能交互、柔性敏捷生产等为特征的智能制造，加快推进工业机器人、智能传感与控制、智能检测与装配等先进制造技术在生产、设计过程中的创新应用，推进生产制造设备联网和智能管控，培育数字化车间、智能工厂，提高制造业成套设备及生产线系统集成水平。推进全县先进制造业发展，着力提高工业企业生产设备数字化率、关键工序数控化率、数字化设备联网率、工业软件普及率。在建筑建材、医药化工、食品饮料、装备制造等重点产业骨干企业加快推进企业综合集成应用示范，推动企业加强研发设计、生产制造、经营管理、市场流通等业务环节的集成创新，建立产品全生命周期信息跟踪反馈系统，完善企业供应链管理、客户关系管理和现代物流管理体系。</w:t>
      </w:r>
    </w:p>
    <w:p>
      <w:pPr>
        <w:keepNext/>
        <w:keepLines/>
        <w:spacing w:before="120" w:after="120" w:line="360" w:lineRule="auto"/>
        <w:jc w:val="left"/>
        <w:outlineLvl w:val="1"/>
        <w:rPr>
          <w:rFonts w:ascii="Times New Roman" w:hAnsi="Times New Roman" w:eastAsia="黑体" w:cs="Times New Roman"/>
          <w:b/>
          <w:bCs/>
          <w:sz w:val="32"/>
          <w:szCs w:val="32"/>
        </w:rPr>
      </w:pPr>
      <w:bookmarkStart w:id="54" w:name="_Toc91669996"/>
      <w:r>
        <w:rPr>
          <w:rFonts w:ascii="Times New Roman" w:hAnsi="Times New Roman" w:eastAsia="黑体" w:cs="Times New Roman"/>
          <w:b/>
          <w:bCs/>
          <w:sz w:val="32"/>
          <w:szCs w:val="32"/>
        </w:rPr>
        <w:t>五、推动投资结构优化</w:t>
      </w:r>
      <w:bookmarkEnd w:id="54"/>
    </w:p>
    <w:p>
      <w:pPr>
        <w:adjustRightInd w:val="0"/>
        <w:snapToGrid w:val="0"/>
        <w:spacing w:before="156" w:beforeLines="50" w:after="156" w:afterLines="50" w:line="360" w:lineRule="auto"/>
        <w:ind w:firstLine="562" w:firstLineChars="200"/>
        <w:rPr>
          <w:rFonts w:ascii="仿宋" w:hAnsi="仿宋" w:cs="Times New Roman"/>
          <w:color w:val="000000"/>
          <w:sz w:val="28"/>
          <w:szCs w:val="32"/>
        </w:rPr>
      </w:pPr>
      <w:r>
        <w:rPr>
          <w:rFonts w:hint="eastAsia" w:ascii="仿宋" w:hAnsi="仿宋" w:cs="Times New Roman"/>
          <w:b/>
          <w:color w:val="000000"/>
          <w:sz w:val="28"/>
          <w:szCs w:val="32"/>
        </w:rPr>
        <w:t>加大重点产业投资力度。</w:t>
      </w:r>
      <w:r>
        <w:rPr>
          <w:rFonts w:hint="eastAsia" w:ascii="仿宋" w:hAnsi="仿宋" w:cs="Times New Roman"/>
          <w:color w:val="000000"/>
          <w:sz w:val="28"/>
          <w:szCs w:val="32"/>
        </w:rPr>
        <w:t>以绿色发展为重点，围绕食品饮料、建筑建材、装备制造、纺织服装等重点产业以及新能源汽车、新材料、电子信息、节能环保等战略性新兴产业，集中政策、土地、资金等资源，加快重点产业园区建设，重点扶持、引进产业龙头企业、关键零部件企业和补链企业，建设一批科技含量高、市场前景好、带动能力强的重大项目</w:t>
      </w:r>
      <w:r>
        <w:rPr>
          <w:rFonts w:ascii="仿宋" w:hAnsi="仿宋" w:cs="Times New Roman"/>
          <w:color w:val="000000"/>
          <w:sz w:val="28"/>
          <w:szCs w:val="32"/>
        </w:rPr>
        <w:t>,促进重点产业加快发展。</w:t>
      </w:r>
    </w:p>
    <w:p>
      <w:pPr>
        <w:adjustRightInd w:val="0"/>
        <w:snapToGrid w:val="0"/>
        <w:spacing w:before="156" w:beforeLines="50" w:after="156" w:afterLines="50" w:line="360" w:lineRule="auto"/>
        <w:ind w:firstLine="562" w:firstLineChars="200"/>
        <w:rPr>
          <w:rFonts w:ascii="仿宋" w:hAnsi="仿宋" w:cs="Times New Roman"/>
          <w:color w:val="000000"/>
          <w:sz w:val="28"/>
          <w:szCs w:val="32"/>
        </w:rPr>
      </w:pPr>
      <w:r>
        <w:rPr>
          <w:rFonts w:hint="eastAsia" w:ascii="仿宋" w:hAnsi="仿宋" w:cs="Times New Roman"/>
          <w:b/>
          <w:color w:val="000000"/>
          <w:sz w:val="28"/>
          <w:szCs w:val="32"/>
        </w:rPr>
        <w:t>优化传统优势产业投资。</w:t>
      </w:r>
      <w:r>
        <w:rPr>
          <w:rFonts w:hint="eastAsia" w:ascii="仿宋" w:hAnsi="仿宋" w:cs="Times New Roman"/>
          <w:color w:val="000000"/>
          <w:sz w:val="28"/>
          <w:szCs w:val="32"/>
        </w:rPr>
        <w:t>以质量和效益为导向，以支持传统企业扩能技改、推进产业发展实现新突破为目的，牵头设立产业转型基金。引导和鼓励汽车制造、食品饮料、建材工业、鞋帽服装加工、工艺品加工、装备制造等传统优势产业加强高新技术、先进适用技术以及信息技术的推广和应用，加大技术改造力度，推动产业由初级加工向精深加工发展，向先进制造业、高附加值制造业转变。</w:t>
      </w:r>
      <w:r>
        <w:rPr>
          <w:rFonts w:ascii="仿宋" w:hAnsi="仿宋" w:cs="Times New Roman"/>
          <w:color w:val="000000"/>
          <w:sz w:val="28"/>
          <w:szCs w:val="32"/>
        </w:rPr>
        <w:t xml:space="preserve"> </w:t>
      </w:r>
    </w:p>
    <w:p>
      <w:pPr>
        <w:adjustRightInd w:val="0"/>
        <w:snapToGrid w:val="0"/>
        <w:spacing w:before="156" w:beforeLines="50" w:after="156" w:afterLines="50" w:line="360" w:lineRule="auto"/>
        <w:ind w:firstLine="562" w:firstLineChars="200"/>
        <w:rPr>
          <w:rFonts w:ascii="仿宋" w:hAnsi="仿宋" w:cs="Times New Roman"/>
          <w:color w:val="000000"/>
          <w:sz w:val="28"/>
          <w:szCs w:val="32"/>
        </w:rPr>
      </w:pPr>
      <w:r>
        <w:rPr>
          <w:rFonts w:hint="eastAsia" w:ascii="仿宋" w:hAnsi="仿宋" w:cs="Times New Roman"/>
          <w:b/>
          <w:color w:val="000000"/>
          <w:sz w:val="28"/>
          <w:szCs w:val="32"/>
        </w:rPr>
        <w:t>发挥财政资金引导作用。</w:t>
      </w:r>
      <w:r>
        <w:rPr>
          <w:rFonts w:hint="eastAsia" w:ascii="仿宋" w:hAnsi="仿宋" w:cs="Times New Roman"/>
          <w:color w:val="000000"/>
          <w:sz w:val="28"/>
          <w:szCs w:val="32"/>
        </w:rPr>
        <w:t>多渠道引入扶持资金，在项目前期、项目建设、科技研发、品</w:t>
      </w:r>
      <w:r>
        <w:rPr>
          <w:rFonts w:ascii="仿宋" w:hAnsi="仿宋" w:cs="Times New Roman"/>
          <w:color w:val="000000"/>
          <w:sz w:val="28"/>
          <w:szCs w:val="32"/>
        </w:rPr>
        <w:t>牌培育、配套产业发展等方面持续加大对重点产业的投入力度。发挥</w:t>
      </w:r>
      <w:r>
        <w:rPr>
          <w:rFonts w:hint="eastAsia" w:ascii="仿宋" w:hAnsi="仿宋" w:cs="Times New Roman"/>
          <w:color w:val="000000"/>
          <w:sz w:val="28"/>
          <w:szCs w:val="32"/>
        </w:rPr>
        <w:t>闽侯</w:t>
      </w:r>
      <w:r>
        <w:rPr>
          <w:rFonts w:ascii="仿宋" w:hAnsi="仿宋" w:cs="Times New Roman"/>
          <w:color w:val="000000"/>
          <w:sz w:val="28"/>
          <w:szCs w:val="32"/>
        </w:rPr>
        <w:t>产业发展基金和</w:t>
      </w:r>
      <w:r>
        <w:rPr>
          <w:rFonts w:hint="eastAsia" w:ascii="仿宋" w:hAnsi="仿宋" w:cs="Times New Roman"/>
          <w:color w:val="000000"/>
          <w:sz w:val="28"/>
          <w:szCs w:val="32"/>
        </w:rPr>
        <w:t>闽侯县</w:t>
      </w:r>
      <w:r>
        <w:rPr>
          <w:rFonts w:ascii="仿宋" w:hAnsi="仿宋" w:cs="Times New Roman"/>
          <w:color w:val="000000"/>
          <w:sz w:val="28"/>
          <w:szCs w:val="32"/>
        </w:rPr>
        <w:t>创业投资引导基金作用，多渠道筹集资金，引导社会资本重点投向电子信息、先进装备制造和</w:t>
      </w:r>
      <w:r>
        <w:rPr>
          <w:rFonts w:hint="eastAsia" w:ascii="仿宋" w:hAnsi="仿宋" w:cs="Times New Roman"/>
          <w:color w:val="000000"/>
          <w:sz w:val="28"/>
          <w:szCs w:val="32"/>
        </w:rPr>
        <w:t>新材料</w:t>
      </w:r>
      <w:r>
        <w:rPr>
          <w:rFonts w:ascii="仿宋" w:hAnsi="仿宋" w:cs="Times New Roman"/>
          <w:color w:val="000000"/>
          <w:sz w:val="28"/>
          <w:szCs w:val="32"/>
        </w:rPr>
        <w:t>产业以及</w:t>
      </w:r>
      <w:r>
        <w:rPr>
          <w:rFonts w:hint="eastAsia" w:ascii="仿宋" w:hAnsi="仿宋" w:cs="Times New Roman"/>
          <w:color w:val="000000"/>
          <w:sz w:val="28"/>
          <w:szCs w:val="32"/>
        </w:rPr>
        <w:t>其它</w:t>
      </w:r>
      <w:r>
        <w:rPr>
          <w:rFonts w:ascii="仿宋" w:hAnsi="仿宋" w:cs="Times New Roman"/>
          <w:color w:val="000000"/>
          <w:sz w:val="28"/>
          <w:szCs w:val="32"/>
        </w:rPr>
        <w:t>战略性新兴产业，加大对创新创业载体建设的资金投入。</w:t>
      </w:r>
    </w:p>
    <w:p>
      <w:pPr>
        <w:widowControl/>
        <w:jc w:val="left"/>
        <w:rPr>
          <w:rFonts w:ascii="Times New Roman" w:hAnsi="Times New Roman" w:eastAsia="黑体" w:cs="Times New Roman"/>
          <w:b/>
          <w:bCs/>
          <w:kern w:val="44"/>
          <w:sz w:val="32"/>
          <w:szCs w:val="44"/>
        </w:rPr>
      </w:pPr>
      <w:r>
        <w:rPr>
          <w:rFonts w:ascii="Times New Roman" w:hAnsi="Times New Roman" w:eastAsia="宋体" w:cs="Times New Roman"/>
          <w:szCs w:val="24"/>
        </w:rPr>
        <w:br w:type="page"/>
      </w:r>
    </w:p>
    <w:p>
      <w:pPr>
        <w:keepNext/>
        <w:keepLines/>
        <w:spacing w:before="120" w:after="120" w:line="578" w:lineRule="auto"/>
        <w:jc w:val="center"/>
        <w:outlineLvl w:val="0"/>
        <w:rPr>
          <w:rFonts w:ascii="Times New Roman" w:hAnsi="Times New Roman" w:eastAsia="黑体" w:cs="Times New Roman"/>
          <w:b/>
          <w:bCs/>
          <w:kern w:val="44"/>
          <w:sz w:val="36"/>
          <w:szCs w:val="44"/>
        </w:rPr>
      </w:pPr>
      <w:bookmarkStart w:id="55" w:name="_Toc91669997"/>
      <w:r>
        <w:rPr>
          <w:rFonts w:ascii="Times New Roman" w:hAnsi="Times New Roman" w:eastAsia="黑体" w:cs="Times New Roman"/>
          <w:b/>
          <w:bCs/>
          <w:kern w:val="44"/>
          <w:sz w:val="36"/>
          <w:szCs w:val="44"/>
        </w:rPr>
        <w:t>第五章</w:t>
      </w:r>
      <w:r>
        <w:rPr>
          <w:rFonts w:hint="eastAsia" w:ascii="Times New Roman" w:hAnsi="Times New Roman" w:eastAsia="黑体" w:cs="Times New Roman"/>
          <w:b/>
          <w:bCs/>
          <w:kern w:val="44"/>
          <w:sz w:val="36"/>
          <w:szCs w:val="44"/>
        </w:rPr>
        <w:t xml:space="preserve"> </w:t>
      </w:r>
      <w:r>
        <w:rPr>
          <w:rFonts w:ascii="Times New Roman" w:hAnsi="Times New Roman" w:eastAsia="黑体" w:cs="Times New Roman"/>
          <w:b/>
          <w:bCs/>
          <w:kern w:val="44"/>
          <w:sz w:val="36"/>
          <w:szCs w:val="44"/>
        </w:rPr>
        <w:t>助力推进信息化发展</w:t>
      </w:r>
      <w:bookmarkEnd w:id="55"/>
    </w:p>
    <w:p>
      <w:pPr>
        <w:keepNext/>
        <w:keepLines/>
        <w:spacing w:before="120" w:after="120" w:line="360" w:lineRule="auto"/>
        <w:jc w:val="left"/>
        <w:outlineLvl w:val="1"/>
        <w:rPr>
          <w:rFonts w:ascii="Times New Roman" w:hAnsi="Times New Roman" w:eastAsia="黑体" w:cs="Times New Roman"/>
          <w:b/>
          <w:bCs/>
          <w:sz w:val="32"/>
          <w:szCs w:val="32"/>
        </w:rPr>
      </w:pPr>
      <w:bookmarkStart w:id="56" w:name="_Toc91669998"/>
      <w:r>
        <w:rPr>
          <w:rFonts w:ascii="Times New Roman" w:hAnsi="Times New Roman" w:eastAsia="黑体" w:cs="Times New Roman"/>
          <w:b/>
          <w:bCs/>
          <w:sz w:val="32"/>
          <w:szCs w:val="32"/>
        </w:rPr>
        <w:t>一、加强信息基础设施建设</w:t>
      </w:r>
      <w:bookmarkEnd w:id="56"/>
    </w:p>
    <w:p>
      <w:pPr>
        <w:adjustRightInd w:val="0"/>
        <w:snapToGrid w:val="0"/>
        <w:spacing w:before="156" w:beforeLines="50" w:after="156" w:afterLines="50" w:line="360" w:lineRule="auto"/>
        <w:ind w:firstLine="562" w:firstLineChars="200"/>
        <w:rPr>
          <w:rFonts w:ascii="Times New Roman" w:hAnsi="Times New Roman" w:cs="Times New Roman"/>
          <w:color w:val="000000"/>
          <w:sz w:val="28"/>
          <w:szCs w:val="32"/>
        </w:rPr>
      </w:pPr>
      <w:r>
        <w:rPr>
          <w:rFonts w:hint="eastAsia" w:ascii="Times New Roman" w:hAnsi="Times New Roman" w:cs="Times New Roman"/>
          <w:b/>
          <w:color w:val="000000"/>
          <w:sz w:val="28"/>
          <w:szCs w:val="32"/>
        </w:rPr>
        <w:t>加快</w:t>
      </w:r>
      <w:r>
        <w:rPr>
          <w:rFonts w:ascii="Times New Roman" w:hAnsi="Times New Roman" w:cs="Times New Roman"/>
          <w:b/>
          <w:color w:val="000000"/>
          <w:sz w:val="28"/>
          <w:szCs w:val="32"/>
        </w:rPr>
        <w:t>5G基础设施建设。</w:t>
      </w:r>
      <w:r>
        <w:rPr>
          <w:rFonts w:hint="eastAsia" w:ascii="Times New Roman" w:hAnsi="Times New Roman" w:cs="Times New Roman"/>
          <w:bCs/>
          <w:color w:val="000000"/>
          <w:sz w:val="28"/>
          <w:szCs w:val="32"/>
        </w:rPr>
        <w:t>严格落实《</w:t>
      </w:r>
      <w:r>
        <w:rPr>
          <w:rFonts w:ascii="Times New Roman" w:hAnsi="Times New Roman" w:cs="Times New Roman"/>
          <w:bCs/>
          <w:color w:val="000000"/>
          <w:sz w:val="28"/>
          <w:szCs w:val="32"/>
        </w:rPr>
        <w:t>闽侯县推进新型基础设施建设行动方案</w:t>
      </w:r>
      <w:r>
        <w:rPr>
          <w:rFonts w:hint="eastAsia" w:ascii="Times New Roman" w:hAnsi="Times New Roman" w:cs="Times New Roman"/>
          <w:bCs/>
          <w:color w:val="000000"/>
          <w:sz w:val="28"/>
          <w:szCs w:val="32"/>
        </w:rPr>
        <w:t>（2</w:t>
      </w:r>
      <w:r>
        <w:rPr>
          <w:rFonts w:ascii="Times New Roman" w:hAnsi="Times New Roman" w:cs="Times New Roman"/>
          <w:bCs/>
          <w:color w:val="000000"/>
          <w:sz w:val="28"/>
          <w:szCs w:val="32"/>
        </w:rPr>
        <w:t>020-2022</w:t>
      </w:r>
      <w:r>
        <w:rPr>
          <w:rFonts w:hint="eastAsia" w:ascii="Times New Roman" w:hAnsi="Times New Roman" w:cs="Times New Roman"/>
          <w:bCs/>
          <w:color w:val="000000"/>
          <w:sz w:val="28"/>
          <w:szCs w:val="32"/>
        </w:rPr>
        <w:t>）》</w:t>
      </w:r>
      <w:r>
        <w:rPr>
          <w:rFonts w:hint="eastAsia" w:ascii="Times New Roman" w:hAnsi="Times New Roman" w:cs="Times New Roman"/>
          <w:color w:val="000000"/>
          <w:sz w:val="28"/>
          <w:szCs w:val="32"/>
        </w:rPr>
        <w:t>，按照5G基站规划与电信基础设施共建共享要求，统筹基础电信运营商5G设施建设，共建铁塔、机房等基站配套设施以及公共交通、重点场所建筑楼宇室内分布系统，推进“多杆合一”。鼓励政府、国有企事业单位、重要交通设施等社会公共基础设施资源向5G网络建设开放。基础电信运营商按照规划加快公共交通、重点场所建筑楼宇以外的室内分布系统建设。推动各地将公共建筑物、弱电井管道、杆塔、绿地等资源向移动通信基站建设开放，在规划落地、基站设置、传输和管道工程建设、电力引接等方面予以支持。</w:t>
      </w:r>
      <w:r>
        <w:rPr>
          <w:rFonts w:ascii="Times New Roman" w:hAnsi="Times New Roman" w:cs="Times New Roman"/>
          <w:color w:val="000000"/>
          <w:sz w:val="28"/>
          <w:szCs w:val="32"/>
        </w:rPr>
        <w:t>重点推进“5G</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协同制造”、“5G</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智慧教育”、“5G</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智慧交通”等5G典型融合应用基础设施建设，并不断拓展到其他应用示范</w:t>
      </w:r>
      <w:r>
        <w:rPr>
          <w:rFonts w:hint="eastAsia" w:ascii="Times New Roman" w:hAnsi="Times New Roman" w:cs="Times New Roman"/>
          <w:color w:val="000000"/>
          <w:sz w:val="28"/>
          <w:szCs w:val="32"/>
        </w:rPr>
        <w:t>领域。依托县工信局、县发改局、县教育局、县交通运输局、县住建局、县自然资源和规划局、县生态环境局等相关部门，持续健全和完善智慧城市、智慧交通、智慧医疗、智慧教育等领域基础设施建设。</w:t>
      </w:r>
    </w:p>
    <w:p>
      <w:pPr>
        <w:adjustRightInd w:val="0"/>
        <w:snapToGrid w:val="0"/>
        <w:spacing w:before="156" w:beforeLines="50" w:after="156" w:afterLines="50" w:line="360" w:lineRule="auto"/>
        <w:ind w:firstLine="562" w:firstLineChars="200"/>
        <w:rPr>
          <w:rFonts w:ascii="Times New Roman" w:hAnsi="Times New Roman" w:cs="Times New Roman"/>
          <w:color w:val="000000"/>
          <w:sz w:val="28"/>
          <w:szCs w:val="32"/>
        </w:rPr>
      </w:pPr>
      <w:r>
        <w:rPr>
          <w:rFonts w:hint="eastAsia" w:ascii="Times New Roman" w:hAnsi="Times New Roman" w:cs="Times New Roman"/>
          <w:b/>
          <w:color w:val="000000"/>
          <w:sz w:val="28"/>
          <w:szCs w:val="32"/>
        </w:rPr>
        <w:t>实现信息网络升级。</w:t>
      </w:r>
      <w:r>
        <w:rPr>
          <w:rFonts w:hint="eastAsia" w:ascii="Times New Roman" w:hAnsi="Times New Roman" w:cs="Times New Roman"/>
          <w:color w:val="000000"/>
          <w:sz w:val="28"/>
          <w:szCs w:val="32"/>
        </w:rPr>
        <w:t>开展互联网进村入户行动，助力“平安乡村”建设，提升农村宽带渗透率，扩大触点提升百兆光纤网络入户率。加大低渗透率小区的攻坚力度，提升智家业务和双千兆网络的入户率，</w:t>
      </w:r>
      <w:r>
        <w:rPr>
          <w:rFonts w:ascii="Times New Roman" w:hAnsi="Times New Roman" w:cs="Times New Roman"/>
          <w:color w:val="000000"/>
          <w:sz w:val="28"/>
          <w:szCs w:val="32"/>
        </w:rPr>
        <w:t>加快实现全</w:t>
      </w:r>
      <w:r>
        <w:rPr>
          <w:rFonts w:hint="eastAsia" w:ascii="Times New Roman" w:hAnsi="Times New Roman" w:cs="Times New Roman"/>
          <w:color w:val="000000"/>
          <w:sz w:val="28"/>
          <w:szCs w:val="32"/>
        </w:rPr>
        <w:t>县</w:t>
      </w:r>
      <w:r>
        <w:rPr>
          <w:rFonts w:ascii="Times New Roman" w:hAnsi="Times New Roman" w:cs="Times New Roman"/>
          <w:color w:val="000000"/>
          <w:sz w:val="28"/>
          <w:szCs w:val="32"/>
        </w:rPr>
        <w:t>光纤网络全覆盖，城市宽带接入能力普遍达到1000Mbps，农村宽带接入能力加快迈向500Mbps。</w:t>
      </w:r>
      <w:r>
        <w:rPr>
          <w:rFonts w:hint="eastAsia" w:ascii="Times New Roman" w:hAnsi="Times New Roman" w:cs="Times New Roman"/>
          <w:color w:val="000000"/>
          <w:sz w:val="28"/>
          <w:szCs w:val="32"/>
        </w:rPr>
        <w:t>推动IPv6规模部署，</w:t>
      </w:r>
      <w:r>
        <w:rPr>
          <w:rFonts w:ascii="Times New Roman" w:hAnsi="Times New Roman" w:cs="Times New Roman"/>
          <w:color w:val="000000"/>
          <w:sz w:val="28"/>
          <w:szCs w:val="32"/>
        </w:rPr>
        <w:t>加快城域网、接入网、互联网数据中心</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IDC</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、业务系统、支撑系统等基础设施的IPv6升级改造，全面提升IPv6用户普及率和网络接入覆盖率。积极推动商业网站系统及政府、学校、企事业单位外网网站系统的IPv6升级改造，促进各类业务向IPv6过渡</w:t>
      </w:r>
      <w:r>
        <w:rPr>
          <w:rFonts w:hint="eastAsia" w:ascii="Times New Roman" w:hAnsi="Times New Roman" w:cs="Times New Roman"/>
          <w:color w:val="000000"/>
          <w:sz w:val="28"/>
          <w:szCs w:val="32"/>
        </w:rPr>
        <w:t>。统筹规划“三网融合”基础设施建设，促进支撑电信网、广播电视网和互联网融合业务基础设施的共建共享。</w:t>
      </w:r>
    </w:p>
    <w:p>
      <w:pPr>
        <w:keepNext/>
        <w:keepLines/>
        <w:spacing w:before="120" w:after="120" w:line="360" w:lineRule="auto"/>
        <w:jc w:val="left"/>
        <w:outlineLvl w:val="1"/>
        <w:rPr>
          <w:rFonts w:ascii="Times New Roman" w:hAnsi="Times New Roman" w:eastAsia="黑体" w:cs="Times New Roman"/>
          <w:b/>
          <w:bCs/>
          <w:sz w:val="32"/>
          <w:szCs w:val="32"/>
        </w:rPr>
      </w:pPr>
      <w:bookmarkStart w:id="57" w:name="_Toc91669999"/>
      <w:r>
        <w:rPr>
          <w:rFonts w:ascii="Times New Roman" w:hAnsi="Times New Roman" w:eastAsia="黑体" w:cs="Times New Roman"/>
          <w:b/>
          <w:bCs/>
          <w:sz w:val="32"/>
          <w:szCs w:val="32"/>
        </w:rPr>
        <w:t>二、推动部署工业新基建</w:t>
      </w:r>
      <w:bookmarkEnd w:id="57"/>
    </w:p>
    <w:p>
      <w:pPr>
        <w:adjustRightInd w:val="0"/>
        <w:snapToGrid w:val="0"/>
        <w:spacing w:before="156" w:beforeLines="50" w:after="156" w:afterLines="50" w:line="360" w:lineRule="auto"/>
        <w:ind w:firstLine="562" w:firstLineChars="200"/>
        <w:rPr>
          <w:rFonts w:ascii="Times New Roman" w:hAnsi="Times New Roman" w:cs="Times New Roman"/>
          <w:b/>
          <w:color w:val="000000"/>
          <w:sz w:val="28"/>
          <w:szCs w:val="32"/>
        </w:rPr>
      </w:pPr>
      <w:r>
        <w:rPr>
          <w:rFonts w:hint="eastAsia" w:ascii="Times New Roman" w:hAnsi="Times New Roman" w:cs="Times New Roman"/>
          <w:b/>
          <w:color w:val="000000"/>
          <w:sz w:val="28"/>
          <w:szCs w:val="32"/>
        </w:rPr>
        <w:t>推动新一代云计算中心建设。</w:t>
      </w:r>
      <w:r>
        <w:rPr>
          <w:rFonts w:hint="eastAsia" w:ascii="Times New Roman" w:hAnsi="Times New Roman" w:cs="Times New Roman"/>
          <w:color w:val="000000"/>
          <w:sz w:val="28"/>
          <w:szCs w:val="32"/>
        </w:rPr>
        <w:t>依托数</w:t>
      </w:r>
      <w:r>
        <w:rPr>
          <w:rFonts w:ascii="Times New Roman" w:hAnsi="Times New Roman" w:cs="Times New Roman"/>
          <w:color w:val="000000"/>
          <w:sz w:val="28"/>
          <w:szCs w:val="32"/>
        </w:rPr>
        <w:t>字福建云计算中心</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鼓励</w:t>
      </w:r>
      <w:r>
        <w:rPr>
          <w:rFonts w:hint="eastAsia" w:ascii="Times New Roman" w:hAnsi="Times New Roman" w:cs="Times New Roman"/>
          <w:color w:val="000000"/>
          <w:sz w:val="28"/>
          <w:szCs w:val="32"/>
        </w:rPr>
        <w:t>闽侯县</w:t>
      </w:r>
      <w:r>
        <w:rPr>
          <w:rFonts w:ascii="Times New Roman" w:hAnsi="Times New Roman" w:cs="Times New Roman"/>
          <w:color w:val="000000"/>
          <w:sz w:val="28"/>
          <w:szCs w:val="32"/>
        </w:rPr>
        <w:t>工业企业上云，降低企业信息化投入成本，快速提升企业信息化水平，开展用户个性化需求与产品设计规模化定制服务。</w:t>
      </w:r>
      <w:r>
        <w:rPr>
          <w:rFonts w:hint="eastAsia" w:ascii="Times New Roman" w:hAnsi="Times New Roman" w:cs="Times New Roman"/>
          <w:color w:val="000000"/>
          <w:sz w:val="28"/>
          <w:szCs w:val="32"/>
        </w:rPr>
        <w:t>为各级党政机关、企事业单位、科研院所提供一体化的云计算服务能力，提高业务承载能力和集约化水平。对全县分散的数据中心资源进行“云化”改造，建立县政务云与社会“公有云”分工合作机制，将政府部门各核心业务和涉及敏感信息的电子政务系统逐步迁移至县政务云，将其他电子政务系统以购买服务的方式逐步迁移至社会“公有云”服务平台。建立云计算中心管理规范和安全制度，加强技术和服务标准体系建设，建立权限合理、职责清晰的用户认证管理体系和完善的责任追溯查证体系。加强云计算中心运营支撑体系建设，建设云计算容灾备份系统及安全系统。</w:t>
      </w:r>
    </w:p>
    <w:p>
      <w:pPr>
        <w:adjustRightInd w:val="0"/>
        <w:snapToGrid w:val="0"/>
        <w:spacing w:before="156" w:beforeLines="50" w:after="156" w:afterLines="50" w:line="360" w:lineRule="auto"/>
        <w:ind w:firstLine="562" w:firstLineChars="200"/>
        <w:rPr>
          <w:rFonts w:ascii="Times New Roman" w:hAnsi="Times New Roman" w:cs="Times New Roman"/>
          <w:b/>
          <w:color w:val="000000"/>
          <w:sz w:val="28"/>
          <w:szCs w:val="32"/>
        </w:rPr>
      </w:pPr>
      <w:r>
        <w:rPr>
          <w:rFonts w:hint="eastAsia" w:ascii="Times New Roman" w:hAnsi="Times New Roman" w:cs="Times New Roman"/>
          <w:b/>
          <w:color w:val="000000"/>
          <w:sz w:val="28"/>
          <w:szCs w:val="32"/>
        </w:rPr>
        <w:t>搭建工业互联网基础设施。</w:t>
      </w:r>
      <w:r>
        <w:rPr>
          <w:rFonts w:hint="eastAsia" w:ascii="Times New Roman" w:hAnsi="Times New Roman" w:cs="Times New Roman"/>
          <w:color w:val="000000"/>
          <w:sz w:val="28"/>
          <w:szCs w:val="32"/>
        </w:rPr>
        <w:t>以闽侯县经开区、青口汽车工业园区等为重要承载地，</w:t>
      </w:r>
      <w:r>
        <w:rPr>
          <w:rFonts w:ascii="Times New Roman" w:hAnsi="Times New Roman" w:cs="Times New Roman"/>
          <w:color w:val="000000"/>
          <w:sz w:val="28"/>
          <w:szCs w:val="32"/>
        </w:rPr>
        <w:t>聚焦发展高端、智能、绿色、高效的先进制造业，推动我</w:t>
      </w:r>
      <w:r>
        <w:rPr>
          <w:rFonts w:hint="eastAsia" w:ascii="Times New Roman" w:hAnsi="Times New Roman" w:cs="Times New Roman"/>
          <w:color w:val="000000"/>
          <w:sz w:val="28"/>
          <w:szCs w:val="32"/>
        </w:rPr>
        <w:t>县工业</w:t>
      </w:r>
      <w:r>
        <w:rPr>
          <w:rFonts w:ascii="Times New Roman" w:hAnsi="Times New Roman" w:cs="Times New Roman"/>
          <w:color w:val="000000"/>
          <w:sz w:val="28"/>
          <w:szCs w:val="32"/>
        </w:rPr>
        <w:t>互联网和实体经济深度融合。</w:t>
      </w:r>
      <w:r>
        <w:rPr>
          <w:rFonts w:hint="eastAsia" w:ascii="Times New Roman" w:hAnsi="Times New Roman" w:cs="Times New Roman"/>
          <w:color w:val="000000"/>
          <w:sz w:val="28"/>
          <w:szCs w:val="32"/>
        </w:rPr>
        <w:t>组织信息通信企业通过改造已有网络、建设新型网络等方式，建设低时延、高带宽、广覆盖、可定制的工业互联网企业外网络。在汽车制造、装备制造、光电信息等重点行业部署时间敏感网络（</w:t>
      </w:r>
      <w:r>
        <w:rPr>
          <w:rFonts w:ascii="Times New Roman" w:hAnsi="Times New Roman" w:cs="Times New Roman"/>
          <w:color w:val="000000"/>
          <w:sz w:val="28"/>
          <w:szCs w:val="32"/>
        </w:rPr>
        <w:t>TSN）交换机、工业互联网网关等新技术关键设备</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实施工业互联网IPv6应用部署行动，组织电信企业初步完成企业外网络和网间互联互通节点的IPv6改造，建立IPv6地址申请、分配、使用、备案管理体制，建设IPv6地址管理系统，推动落实适用于工业互联网的IPv6地址编码规划方案，通过支持建设测试床、开展应用示范等</w:t>
      </w:r>
      <w:r>
        <w:rPr>
          <w:rFonts w:hint="eastAsia" w:ascii="Times New Roman" w:hAnsi="Times New Roman" w:cs="Times New Roman"/>
          <w:color w:val="000000"/>
          <w:sz w:val="28"/>
          <w:szCs w:val="32"/>
        </w:rPr>
        <w:t>方式，加快工业互联网</w:t>
      </w:r>
      <w:r>
        <w:rPr>
          <w:rFonts w:ascii="Times New Roman" w:hAnsi="Times New Roman" w:cs="Times New Roman"/>
          <w:color w:val="000000"/>
          <w:sz w:val="28"/>
          <w:szCs w:val="32"/>
        </w:rPr>
        <w:t>IPv6关键设备、软件和解决方案的研发和应用部署</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组织</w:t>
      </w:r>
      <w:r>
        <w:rPr>
          <w:rFonts w:hint="eastAsia" w:ascii="Times New Roman" w:hAnsi="Times New Roman" w:cs="Times New Roman"/>
          <w:color w:val="000000"/>
          <w:sz w:val="28"/>
          <w:szCs w:val="32"/>
        </w:rPr>
        <w:t>闽侯</w:t>
      </w:r>
      <w:r>
        <w:rPr>
          <w:rFonts w:ascii="Times New Roman" w:hAnsi="Times New Roman" w:cs="Times New Roman"/>
          <w:color w:val="000000"/>
          <w:sz w:val="28"/>
          <w:szCs w:val="32"/>
        </w:rPr>
        <w:t>本地优质企业积极接入省</w:t>
      </w:r>
      <w:r>
        <w:rPr>
          <w:rFonts w:hint="eastAsia" w:ascii="Times New Roman" w:hAnsi="Times New Roman" w:cs="Times New Roman"/>
          <w:color w:val="000000"/>
          <w:sz w:val="28"/>
          <w:szCs w:val="32"/>
        </w:rPr>
        <w:t>市</w:t>
      </w:r>
      <w:r>
        <w:rPr>
          <w:rFonts w:ascii="Times New Roman" w:hAnsi="Times New Roman" w:cs="Times New Roman"/>
          <w:color w:val="000000"/>
          <w:sz w:val="28"/>
          <w:szCs w:val="32"/>
        </w:rPr>
        <w:t>级工业互联网体系，支持</w:t>
      </w:r>
      <w:r>
        <w:rPr>
          <w:rFonts w:hint="eastAsia" w:ascii="Times New Roman" w:hAnsi="Times New Roman" w:cs="Times New Roman"/>
          <w:color w:val="000000"/>
          <w:sz w:val="28"/>
          <w:szCs w:val="32"/>
        </w:rPr>
        <w:t>闽侯县</w:t>
      </w:r>
      <w:r>
        <w:rPr>
          <w:rFonts w:ascii="Times New Roman" w:hAnsi="Times New Roman" w:cs="Times New Roman"/>
          <w:color w:val="000000"/>
          <w:sz w:val="28"/>
          <w:szCs w:val="32"/>
        </w:rPr>
        <w:t>各电信运营商、各工业企业搭建工业经济运行大数据智慧监测平台，落地多样化业务应用、软件组件和解决方案，助力政府实现对工业经济运行精准调度研判，构筑信息互通、资源共享、能力协同、开放合作的产学研销新体系，构建具备竞争优势的数字经济生态。</w:t>
      </w:r>
    </w:p>
    <w:p>
      <w:pPr>
        <w:keepNext/>
        <w:keepLines/>
        <w:tabs>
          <w:tab w:val="center" w:pos="4153"/>
        </w:tabs>
        <w:spacing w:before="120" w:after="120" w:line="360" w:lineRule="auto"/>
        <w:jc w:val="left"/>
        <w:outlineLvl w:val="1"/>
        <w:rPr>
          <w:rFonts w:ascii="Times New Roman" w:hAnsi="Times New Roman" w:eastAsia="黑体" w:cs="Times New Roman"/>
          <w:b/>
          <w:bCs/>
          <w:sz w:val="32"/>
          <w:szCs w:val="32"/>
        </w:rPr>
      </w:pPr>
      <w:bookmarkStart w:id="58" w:name="_Toc91670000"/>
      <w:r>
        <w:rPr>
          <w:rFonts w:ascii="Times New Roman" w:hAnsi="Times New Roman" w:eastAsia="黑体" w:cs="Times New Roman"/>
          <w:b/>
          <w:bCs/>
          <w:sz w:val="32"/>
          <w:szCs w:val="32"/>
        </w:rPr>
        <w:t>三、大力发展信息服务业</w:t>
      </w:r>
      <w:bookmarkEnd w:id="58"/>
      <w:r>
        <w:rPr>
          <w:rFonts w:ascii="Times New Roman" w:hAnsi="Times New Roman" w:eastAsia="黑体" w:cs="Times New Roman"/>
          <w:b/>
          <w:bCs/>
          <w:sz w:val="32"/>
          <w:szCs w:val="32"/>
        </w:rPr>
        <w:tab/>
      </w:r>
    </w:p>
    <w:p>
      <w:pPr>
        <w:adjustRightInd w:val="0"/>
        <w:snapToGrid w:val="0"/>
        <w:spacing w:before="156" w:beforeLines="50" w:after="156" w:afterLines="50" w:line="360" w:lineRule="auto"/>
        <w:ind w:firstLine="562" w:firstLineChars="200"/>
        <w:rPr>
          <w:rFonts w:ascii="Times New Roman" w:hAnsi="Times New Roman" w:cs="Times New Roman"/>
          <w:b/>
          <w:color w:val="000000"/>
          <w:sz w:val="28"/>
          <w:szCs w:val="32"/>
        </w:rPr>
      </w:pPr>
      <w:r>
        <w:rPr>
          <w:rFonts w:hint="eastAsia" w:ascii="Times New Roman" w:hAnsi="Times New Roman" w:cs="Times New Roman"/>
          <w:b/>
          <w:color w:val="000000"/>
          <w:sz w:val="28"/>
          <w:szCs w:val="32"/>
        </w:rPr>
        <w:t>依托5G基站，丰富融合应用。</w:t>
      </w:r>
      <w:r>
        <w:rPr>
          <w:rFonts w:hint="eastAsia" w:ascii="Times New Roman" w:hAnsi="Times New Roman" w:cs="Times New Roman"/>
          <w:color w:val="000000"/>
          <w:sz w:val="28"/>
          <w:szCs w:val="32"/>
        </w:rPr>
        <w:t>重点推动智能制造、智慧教育、智慧城市、智慧交通、智慧医疗、智慧农业、智慧物流等七大领域的应用落地，创建5G应用产业示范基地，集聚一批大数据、人工智能及物联网相关企业，实施跨界企业业务融合示范工程。</w:t>
      </w:r>
    </w:p>
    <w:p>
      <w:pPr>
        <w:adjustRightInd w:val="0"/>
        <w:snapToGrid w:val="0"/>
        <w:spacing w:before="156" w:beforeLines="50" w:after="156" w:afterLines="50" w:line="360" w:lineRule="auto"/>
        <w:ind w:firstLine="562" w:firstLineChars="200"/>
        <w:rPr>
          <w:rFonts w:ascii="Times New Roman" w:hAnsi="Times New Roman" w:cs="Times New Roman"/>
          <w:b/>
          <w:color w:val="000000"/>
          <w:sz w:val="28"/>
          <w:szCs w:val="32"/>
        </w:rPr>
      </w:pPr>
      <w:r>
        <w:rPr>
          <w:rFonts w:hint="eastAsia" w:ascii="Times New Roman" w:hAnsi="Times New Roman" w:cs="Times New Roman"/>
          <w:b/>
          <w:color w:val="000000"/>
          <w:sz w:val="28"/>
          <w:szCs w:val="32"/>
        </w:rPr>
        <w:t>布局大数据产业试验发展区。</w:t>
      </w:r>
      <w:r>
        <w:rPr>
          <w:rFonts w:hint="eastAsia" w:ascii="Times New Roman" w:hAnsi="Times New Roman" w:cs="Times New Roman"/>
          <w:color w:val="000000"/>
          <w:sz w:val="28"/>
          <w:szCs w:val="32"/>
        </w:rPr>
        <w:t>依托三创园、福州大学城，重点聚焦工业大数据应用，结合本地产业基础，打造全国知名的工业大数据应用区域试点，申报一批大数据产业发展试点示范项目。此外，依托大数据技术，协同带动云计算、人工智能、区域链、物联网等相关产业发展，助力“智慧闽侯”建设。鼓励福州大学、福建工程</w:t>
      </w:r>
      <w:r>
        <w:rPr>
          <w:rFonts w:ascii="Times New Roman" w:hAnsi="Times New Roman" w:cs="Times New Roman"/>
          <w:color w:val="000000"/>
          <w:sz w:val="28"/>
          <w:szCs w:val="32"/>
        </w:rPr>
        <w:t>学院</w:t>
      </w:r>
      <w:r>
        <w:rPr>
          <w:rFonts w:hint="eastAsia" w:ascii="Times New Roman" w:hAnsi="Times New Roman" w:cs="Times New Roman"/>
          <w:color w:val="000000"/>
          <w:sz w:val="28"/>
          <w:szCs w:val="32"/>
        </w:rPr>
        <w:t>等本地高校和职业院校开设大数据专业，加大数字经济人才培养力度。</w:t>
      </w:r>
    </w:p>
    <w:p>
      <w:pPr>
        <w:adjustRightInd w:val="0"/>
        <w:snapToGrid w:val="0"/>
        <w:spacing w:before="156" w:beforeLines="50" w:after="156" w:afterLines="50" w:line="360" w:lineRule="auto"/>
        <w:ind w:firstLine="562" w:firstLineChars="200"/>
        <w:rPr>
          <w:rFonts w:ascii="Times New Roman" w:hAnsi="Times New Roman" w:cs="Times New Roman"/>
          <w:b/>
          <w:color w:val="000000"/>
          <w:sz w:val="28"/>
          <w:szCs w:val="32"/>
        </w:rPr>
      </w:pPr>
      <w:r>
        <w:rPr>
          <w:rFonts w:hint="eastAsia" w:ascii="Times New Roman" w:hAnsi="Times New Roman" w:cs="Times New Roman"/>
          <w:b/>
          <w:color w:val="000000"/>
          <w:sz w:val="28"/>
          <w:szCs w:val="32"/>
        </w:rPr>
        <w:t>丰富工业互联网支撑服务</w:t>
      </w:r>
      <w:r>
        <w:rPr>
          <w:rFonts w:ascii="Times New Roman" w:hAnsi="Times New Roman" w:cs="Times New Roman"/>
          <w:b/>
          <w:color w:val="000000"/>
          <w:sz w:val="28"/>
          <w:szCs w:val="32"/>
        </w:rPr>
        <w:t>。</w:t>
      </w:r>
      <w:r>
        <w:rPr>
          <w:rFonts w:ascii="Times New Roman" w:hAnsi="Times New Roman" w:cs="Times New Roman"/>
          <w:color w:val="000000"/>
          <w:sz w:val="28"/>
          <w:szCs w:val="32"/>
        </w:rPr>
        <w:t>结合</w:t>
      </w:r>
      <w:r>
        <w:rPr>
          <w:rFonts w:hint="eastAsia" w:ascii="Times New Roman" w:hAnsi="Times New Roman" w:cs="Times New Roman"/>
          <w:color w:val="000000"/>
          <w:sz w:val="28"/>
          <w:szCs w:val="32"/>
        </w:rPr>
        <w:t>闽侯县</w:t>
      </w:r>
      <w:r>
        <w:rPr>
          <w:rFonts w:ascii="Times New Roman" w:hAnsi="Times New Roman" w:cs="Times New Roman"/>
          <w:color w:val="000000"/>
          <w:sz w:val="28"/>
          <w:szCs w:val="32"/>
        </w:rPr>
        <w:t>龙头企业和特色企业的实际业务场景，聚焦企业的能耗管理、工艺优化和成本管控，重点发展工业云服务和工业大数据服务。鼓励龙头企业发展基于互联网的个性化定制、云制造等新型制造模式，预测性维护、工艺质量优化（包括过程符合评价、工艺参数调整等）、远程诊断管理、全产业链追溯等工业大数据应用，探索建立高质量的工业云服务和工业大数据平台。促进大宗原材料网上交易、工业产品网上定制、上下游关联企业业务协同发展</w:t>
      </w:r>
      <w:r>
        <w:rPr>
          <w:rFonts w:hint="eastAsia" w:ascii="Times New Roman" w:hAnsi="Times New Roman" w:cs="Times New Roman"/>
          <w:color w:val="000000"/>
          <w:sz w:val="28"/>
          <w:szCs w:val="32"/>
        </w:rPr>
        <w:t>，</w:t>
      </w:r>
      <w:r>
        <w:rPr>
          <w:rFonts w:ascii="Times New Roman" w:hAnsi="Times New Roman" w:cs="Times New Roman"/>
          <w:color w:val="000000"/>
          <w:sz w:val="28"/>
          <w:szCs w:val="32"/>
        </w:rPr>
        <w:t>深化大中型工业电子商务应用</w:t>
      </w:r>
      <w:r>
        <w:rPr>
          <w:rFonts w:hint="eastAsia" w:ascii="Times New Roman" w:hAnsi="Times New Roman" w:cs="Times New Roman"/>
          <w:color w:val="000000"/>
          <w:sz w:val="28"/>
          <w:szCs w:val="32"/>
        </w:rPr>
        <w:t>服务。</w:t>
      </w:r>
      <w:r>
        <w:rPr>
          <w:rFonts w:ascii="Times New Roman" w:hAnsi="Times New Roman" w:cs="Times New Roman"/>
          <w:color w:val="000000"/>
          <w:sz w:val="28"/>
          <w:szCs w:val="32"/>
        </w:rPr>
        <w:t>推进</w:t>
      </w:r>
      <w:r>
        <w:rPr>
          <w:rFonts w:hint="eastAsia" w:ascii="Times New Roman" w:hAnsi="Times New Roman" w:cs="Times New Roman"/>
          <w:color w:val="000000"/>
          <w:sz w:val="28"/>
          <w:szCs w:val="32"/>
        </w:rPr>
        <w:t>闽侯县</w:t>
      </w:r>
      <w:r>
        <w:rPr>
          <w:rFonts w:ascii="Times New Roman" w:hAnsi="Times New Roman" w:cs="Times New Roman"/>
          <w:color w:val="000000"/>
          <w:sz w:val="28"/>
          <w:szCs w:val="32"/>
        </w:rPr>
        <w:t>汽车零部件</w:t>
      </w:r>
      <w:r>
        <w:rPr>
          <w:rFonts w:hint="eastAsia" w:ascii="Times New Roman" w:hAnsi="Times New Roman" w:cs="Times New Roman"/>
          <w:color w:val="000000"/>
          <w:sz w:val="28"/>
          <w:szCs w:val="32"/>
        </w:rPr>
        <w:t>、建材、工艺品、生物医药</w:t>
      </w:r>
      <w:r>
        <w:rPr>
          <w:rFonts w:ascii="Times New Roman" w:hAnsi="Times New Roman" w:cs="Times New Roman"/>
          <w:color w:val="000000"/>
          <w:sz w:val="28"/>
          <w:szCs w:val="32"/>
        </w:rPr>
        <w:t>等行业电商平台建设，打造面向全国的现货网上交易中心，鼓励企业依托第三方电商平台开展业务。</w:t>
      </w:r>
    </w:p>
    <w:p>
      <w:pPr>
        <w:keepNext/>
        <w:keepLines/>
        <w:spacing w:before="120" w:after="120" w:line="360" w:lineRule="auto"/>
        <w:jc w:val="left"/>
        <w:outlineLvl w:val="1"/>
        <w:rPr>
          <w:rFonts w:ascii="Times New Roman" w:hAnsi="Times New Roman" w:eastAsia="黑体" w:cs="Times New Roman"/>
          <w:b/>
          <w:bCs/>
          <w:sz w:val="32"/>
          <w:szCs w:val="32"/>
        </w:rPr>
      </w:pPr>
      <w:bookmarkStart w:id="59" w:name="_Toc91670001"/>
      <w:r>
        <w:rPr>
          <w:rFonts w:ascii="Times New Roman" w:hAnsi="Times New Roman" w:eastAsia="黑体" w:cs="Times New Roman"/>
          <w:b/>
          <w:bCs/>
          <w:sz w:val="32"/>
          <w:szCs w:val="32"/>
        </w:rPr>
        <w:t>四、加强信息安全管理水平</w:t>
      </w:r>
      <w:bookmarkEnd w:id="59"/>
    </w:p>
    <w:p>
      <w:pPr>
        <w:adjustRightInd w:val="0"/>
        <w:snapToGrid w:val="0"/>
        <w:spacing w:before="156" w:beforeLines="50" w:after="156" w:afterLines="50" w:line="360" w:lineRule="auto"/>
        <w:ind w:firstLine="562" w:firstLineChars="200"/>
        <w:rPr>
          <w:rFonts w:ascii="Times New Roman" w:hAnsi="Times New Roman" w:cs="Times New Roman"/>
          <w:color w:val="000000"/>
          <w:sz w:val="28"/>
          <w:szCs w:val="32"/>
        </w:rPr>
      </w:pPr>
      <w:r>
        <w:rPr>
          <w:rFonts w:hint="eastAsia" w:ascii="Times New Roman" w:hAnsi="Times New Roman" w:cs="Times New Roman"/>
          <w:b/>
          <w:color w:val="000000"/>
          <w:sz w:val="28"/>
          <w:szCs w:val="32"/>
        </w:rPr>
        <w:t>加强信息安全保障体系建设。</w:t>
      </w:r>
      <w:r>
        <w:rPr>
          <w:rFonts w:hint="eastAsia" w:ascii="Times New Roman" w:hAnsi="Times New Roman" w:cs="Times New Roman"/>
          <w:color w:val="000000"/>
          <w:sz w:val="28"/>
          <w:szCs w:val="32"/>
        </w:rPr>
        <w:t>加强网络边界安全、内网信息安全及外网信息交换安全防护，强化对安全风险、威胁和安全事件的预防和发现能力。构建以可信计算、访问控制等为基础的主动防御技术体系。整合现有技术手段和信息资源，形成闽侯县网络空间积极防御协作机制，建设闽侯县网络空间安全态势感知平台。积极推进信息安全等级保护测评工作，指导基础网络和重要信息系统运营单位在技术、管理和应急三个方面加强防护能力。建立健全网络及信息安全应急响应和处置机制，不断提高处置网络与信息安全突发公共事件的能力。加强网络信息安全监管，提高对网络犯罪的监控与防范能力，依法打击网络犯罪的各类行为。</w:t>
      </w:r>
    </w:p>
    <w:p>
      <w:pPr>
        <w:adjustRightInd w:val="0"/>
        <w:snapToGrid w:val="0"/>
        <w:spacing w:before="156" w:beforeLines="50" w:after="156" w:afterLines="50" w:line="360" w:lineRule="auto"/>
        <w:ind w:firstLine="562" w:firstLineChars="200"/>
        <w:rPr>
          <w:rFonts w:ascii="Times New Roman" w:hAnsi="Times New Roman" w:cs="Times New Roman"/>
          <w:color w:val="000000"/>
          <w:sz w:val="28"/>
          <w:szCs w:val="32"/>
        </w:rPr>
      </w:pPr>
      <w:r>
        <w:rPr>
          <w:rFonts w:hint="eastAsia" w:ascii="Times New Roman" w:hAnsi="Times New Roman" w:cs="Times New Roman"/>
          <w:b/>
          <w:color w:val="000000"/>
          <w:sz w:val="28"/>
          <w:szCs w:val="32"/>
        </w:rPr>
        <w:t>加强工业控制系统信息安全防护建设。</w:t>
      </w:r>
      <w:r>
        <w:rPr>
          <w:rFonts w:ascii="Times New Roman" w:hAnsi="Times New Roman" w:cs="Times New Roman"/>
          <w:color w:val="000000"/>
          <w:sz w:val="28"/>
          <w:szCs w:val="32"/>
        </w:rPr>
        <w:t>以纳入省工业控制系统安全检查的企业为重点，做实工业主机安全软件选择与管理，建立白名单准入机制。</w:t>
      </w:r>
      <w:r>
        <w:rPr>
          <w:rFonts w:hint="eastAsia" w:ascii="Times New Roman" w:hAnsi="Times New Roman" w:cs="Times New Roman"/>
          <w:color w:val="000000"/>
          <w:sz w:val="28"/>
          <w:szCs w:val="32"/>
        </w:rPr>
        <w:t>积极探索工业控制系统信息安全保障技术，研发兼容多种操作系统或软件平台的安全防护技术，建立闽侯县使用工业控制系统重点领域的信息安全保障体系。重点开展基于工业控制系统现场设备的统一身份认证、漏洞检测、异常行为检测与审计、入侵防御、设备配置管理、网络安全事件管理、网络安全态势评估以及安全策略管理等功能的技术研发。编制相关领域的行业地方标准，建立工业控制系统信息安全保障研究和实验平台，实施专业人才培训，形成针对典型工业控制系统的信息安全保障技术体系。</w:t>
      </w:r>
    </w:p>
    <w:p>
      <w:pPr>
        <w:adjustRightInd w:val="0"/>
        <w:snapToGrid w:val="0"/>
        <w:spacing w:before="156" w:beforeLines="50" w:after="156" w:afterLines="50" w:line="360" w:lineRule="auto"/>
        <w:ind w:firstLine="562" w:firstLineChars="200"/>
        <w:rPr>
          <w:rFonts w:ascii="Times New Roman" w:hAnsi="Times New Roman" w:eastAsia="仿宋_GB2312" w:cs="Times New Roman"/>
          <w:color w:val="000000"/>
          <w:sz w:val="28"/>
          <w:szCs w:val="32"/>
        </w:rPr>
      </w:pPr>
      <w:r>
        <w:rPr>
          <w:rFonts w:hint="eastAsia" w:ascii="Times New Roman" w:hAnsi="Times New Roman" w:cs="Times New Roman"/>
          <w:b/>
          <w:color w:val="000000"/>
          <w:sz w:val="28"/>
          <w:szCs w:val="32"/>
        </w:rPr>
        <w:t>加强信息安全管理工作。</w:t>
      </w:r>
      <w:r>
        <w:rPr>
          <w:rFonts w:hint="eastAsia" w:ascii="Times New Roman" w:hAnsi="Times New Roman" w:cs="Times New Roman"/>
          <w:color w:val="000000"/>
          <w:sz w:val="28"/>
          <w:szCs w:val="32"/>
        </w:rPr>
        <w:t>加强“互联网+”时代信息安全保障体系建设，完善网络与信息安全管理制度，健全安全防护体系。在闽侯县经济、政治、社会、文化等领域开展信息化治理工作，充分发挥政府部门在信息化治理工作中的示范带动作用，依靠专业服务机构，提高各行业信息安全管理水平。制订完善信息化相关法规和规章制度，完善信息安全监控与应急管理体系，加强对政务网络与信息系统的监测管理。加强信息安全人才培养，建设信息安全保障队伍。</w:t>
      </w:r>
      <w:r>
        <w:rPr>
          <w:rFonts w:ascii="Times New Roman" w:hAnsi="Times New Roman" w:eastAsia="黑体" w:cs="Times New Roman"/>
          <w:color w:val="000000"/>
          <w:kern w:val="0"/>
          <w:sz w:val="32"/>
          <w:szCs w:val="32"/>
        </w:rPr>
        <w:br w:type="page"/>
      </w:r>
    </w:p>
    <w:p>
      <w:pPr>
        <w:keepNext/>
        <w:keepLines/>
        <w:spacing w:before="120" w:after="120" w:line="578" w:lineRule="auto"/>
        <w:jc w:val="center"/>
        <w:outlineLvl w:val="0"/>
        <w:rPr>
          <w:rFonts w:ascii="Times New Roman" w:hAnsi="Times New Roman" w:eastAsia="黑体" w:cs="Times New Roman"/>
          <w:b/>
          <w:bCs/>
          <w:kern w:val="44"/>
          <w:sz w:val="36"/>
          <w:szCs w:val="44"/>
        </w:rPr>
      </w:pPr>
      <w:bookmarkStart w:id="60" w:name="_Toc91670002"/>
      <w:r>
        <w:rPr>
          <w:rFonts w:ascii="Times New Roman" w:hAnsi="Times New Roman" w:eastAsia="黑体" w:cs="Times New Roman"/>
          <w:b/>
          <w:bCs/>
          <w:kern w:val="44"/>
          <w:sz w:val="36"/>
          <w:szCs w:val="44"/>
        </w:rPr>
        <w:t>第六章</w:t>
      </w:r>
      <w:r>
        <w:rPr>
          <w:rFonts w:hint="eastAsia" w:ascii="Times New Roman" w:hAnsi="Times New Roman" w:eastAsia="黑体" w:cs="Times New Roman"/>
          <w:b/>
          <w:bCs/>
          <w:kern w:val="44"/>
          <w:sz w:val="36"/>
          <w:szCs w:val="44"/>
        </w:rPr>
        <w:t xml:space="preserve"> </w:t>
      </w:r>
      <w:r>
        <w:rPr>
          <w:rFonts w:ascii="Times New Roman" w:hAnsi="Times New Roman" w:eastAsia="黑体" w:cs="Times New Roman"/>
          <w:b/>
          <w:bCs/>
          <w:kern w:val="44"/>
          <w:sz w:val="36"/>
          <w:szCs w:val="44"/>
        </w:rPr>
        <w:t>空间布局</w:t>
      </w:r>
      <w:bookmarkEnd w:id="60"/>
    </w:p>
    <w:p>
      <w:pPr>
        <w:keepNext/>
        <w:keepLines/>
        <w:spacing w:before="120" w:after="120" w:line="360" w:lineRule="auto"/>
        <w:jc w:val="left"/>
        <w:outlineLvl w:val="1"/>
        <w:rPr>
          <w:rFonts w:ascii="Times New Roman" w:hAnsi="Times New Roman" w:eastAsia="黑体" w:cs="Times New Roman"/>
          <w:b/>
          <w:bCs/>
          <w:sz w:val="32"/>
          <w:szCs w:val="32"/>
        </w:rPr>
      </w:pPr>
      <w:bookmarkStart w:id="61" w:name="_Toc91670003"/>
      <w:r>
        <w:rPr>
          <w:rFonts w:ascii="Times New Roman" w:hAnsi="Times New Roman" w:eastAsia="黑体" w:cs="Times New Roman"/>
          <w:b/>
          <w:bCs/>
          <w:sz w:val="32"/>
          <w:szCs w:val="32"/>
        </w:rPr>
        <w:t>一、布局原则</w:t>
      </w:r>
      <w:bookmarkEnd w:id="61"/>
    </w:p>
    <w:p>
      <w:pPr>
        <w:ind w:firstLine="560"/>
        <w:rPr>
          <w:rFonts w:ascii="Times New Roman" w:hAnsi="Times New Roman" w:cs="Times New Roman"/>
          <w:sz w:val="28"/>
          <w:szCs w:val="28"/>
        </w:rPr>
      </w:pPr>
      <w:r>
        <w:rPr>
          <w:rFonts w:ascii="Times New Roman" w:hAnsi="Times New Roman" w:cs="Times New Roman"/>
          <w:sz w:val="28"/>
          <w:szCs w:val="28"/>
        </w:rPr>
        <w:t>以产业集聚、创新引领为目标，遵循集聚发展、创新引领、融合应用的布局原则，打造基础设施完善、配套同步的闽侯县产业格局。</w:t>
      </w:r>
    </w:p>
    <w:p>
      <w:pPr>
        <w:ind w:firstLine="560"/>
        <w:rPr>
          <w:rFonts w:ascii="Times New Roman" w:hAnsi="Times New Roman" w:cs="Times New Roman"/>
          <w:sz w:val="28"/>
          <w:szCs w:val="28"/>
        </w:rPr>
      </w:pPr>
      <w:r>
        <w:rPr>
          <w:rFonts w:ascii="Times New Roman" w:hAnsi="Times New Roman" w:cs="Times New Roman"/>
          <w:b/>
          <w:sz w:val="28"/>
          <w:szCs w:val="28"/>
        </w:rPr>
        <w:t>——集聚发展。</w:t>
      </w:r>
      <w:r>
        <w:rPr>
          <w:rFonts w:ascii="Times New Roman" w:hAnsi="Times New Roman" w:cs="Times New Roman"/>
          <w:sz w:val="28"/>
          <w:szCs w:val="28"/>
        </w:rPr>
        <w:t>在布局过程中应避免企业项目在全县范围内零散布局的现象，引导企业在特定园区等载体内相邻形成集聚，一方面为企业提供统一的办公场地、生产厂房、物业服务、商业配套和公共设施，避免资源、能源浪费；另一方面促进企业间技术和人才的交流合作，形成产业集聚效应。</w:t>
      </w:r>
    </w:p>
    <w:p>
      <w:pPr>
        <w:ind w:firstLine="560"/>
        <w:rPr>
          <w:rFonts w:ascii="Times New Roman" w:hAnsi="Times New Roman" w:cs="Times New Roman"/>
          <w:sz w:val="28"/>
          <w:szCs w:val="28"/>
        </w:rPr>
      </w:pPr>
      <w:r>
        <w:rPr>
          <w:rFonts w:ascii="Times New Roman" w:hAnsi="Times New Roman" w:cs="Times New Roman"/>
          <w:b/>
          <w:sz w:val="28"/>
          <w:szCs w:val="28"/>
        </w:rPr>
        <w:t>——创新引领。</w:t>
      </w:r>
      <w:r>
        <w:rPr>
          <w:rFonts w:ascii="Times New Roman" w:hAnsi="Times New Roman" w:cs="Times New Roman"/>
          <w:sz w:val="28"/>
          <w:szCs w:val="28"/>
        </w:rPr>
        <w:t>捋顺各产业创新空间的开发时序，按照分期开发的方式，优先开发人才培养、资本导入、科技服务等业态空间。将办公空间建设、配套设施完善等环节的重要时间节点纳入开发计划时间表，合理把握开发强度与开发进度。</w:t>
      </w:r>
    </w:p>
    <w:p>
      <w:pPr>
        <w:ind w:firstLine="560"/>
        <w:rPr>
          <w:rFonts w:ascii="Times New Roman" w:hAnsi="Times New Roman" w:cs="Times New Roman"/>
          <w:sz w:val="28"/>
          <w:szCs w:val="28"/>
        </w:rPr>
      </w:pPr>
      <w:r>
        <w:rPr>
          <w:rFonts w:ascii="Times New Roman" w:hAnsi="Times New Roman" w:cs="Times New Roman"/>
          <w:b/>
          <w:sz w:val="28"/>
          <w:szCs w:val="28"/>
        </w:rPr>
        <w:t>——融合应用。</w:t>
      </w:r>
      <w:r>
        <w:rPr>
          <w:rFonts w:ascii="Times New Roman" w:hAnsi="Times New Roman" w:cs="Times New Roman"/>
          <w:sz w:val="28"/>
          <w:szCs w:val="28"/>
        </w:rPr>
        <w:t>一方面，全县不同区域之间要实现产业环节之间的融合，通过人才培训、创业孵化等平台形成片区间融合；另一方面，片区内部要实现产城融合发展，基础设施与商贸服务配套要与产业发展相匹配，办公用地与居住用地的比例要协调，打造产城融合、宜居宜业的园区环境。</w:t>
      </w:r>
    </w:p>
    <w:p>
      <w:pPr>
        <w:keepNext/>
        <w:keepLines/>
        <w:spacing w:before="120" w:after="120" w:line="360" w:lineRule="auto"/>
        <w:jc w:val="left"/>
        <w:outlineLvl w:val="1"/>
        <w:rPr>
          <w:rFonts w:ascii="Times New Roman" w:hAnsi="Times New Roman" w:eastAsia="黑体" w:cs="Times New Roman"/>
          <w:b/>
          <w:bCs/>
          <w:sz w:val="32"/>
          <w:szCs w:val="32"/>
        </w:rPr>
      </w:pPr>
      <w:bookmarkStart w:id="62" w:name="_Toc91670004"/>
      <w:r>
        <w:rPr>
          <w:rFonts w:ascii="Times New Roman" w:hAnsi="Times New Roman" w:eastAsia="黑体" w:cs="Times New Roman"/>
          <w:b/>
          <w:bCs/>
          <w:sz w:val="32"/>
          <w:szCs w:val="32"/>
        </w:rPr>
        <w:t>二、布局方案</w:t>
      </w:r>
      <w:bookmarkEnd w:id="62"/>
    </w:p>
    <w:p>
      <w:pPr>
        <w:ind w:firstLine="560"/>
        <w:rPr>
          <w:rFonts w:ascii="Times New Roman" w:hAnsi="Times New Roman" w:cs="Times New Roman"/>
          <w:sz w:val="28"/>
          <w:szCs w:val="28"/>
        </w:rPr>
      </w:pPr>
      <w:r>
        <w:rPr>
          <w:rFonts w:ascii="Times New Roman" w:hAnsi="Times New Roman" w:cs="Times New Roman"/>
          <w:sz w:val="28"/>
          <w:szCs w:val="28"/>
        </w:rPr>
        <w:t>依托</w:t>
      </w:r>
      <w:r>
        <w:rPr>
          <w:rFonts w:hint="eastAsia" w:ascii="Times New Roman" w:hAnsi="Times New Roman" w:cs="Times New Roman"/>
          <w:sz w:val="28"/>
          <w:szCs w:val="28"/>
        </w:rPr>
        <w:t>青口汽车工业园区</w:t>
      </w:r>
      <w:r>
        <w:rPr>
          <w:rFonts w:ascii="Times New Roman" w:hAnsi="Times New Roman" w:cs="Times New Roman"/>
          <w:sz w:val="28"/>
          <w:szCs w:val="28"/>
        </w:rPr>
        <w:t>，继续做大做强汽车零部件、汽车电子等产业，围绕东南汽车、福建奔驰等整车厂商引进核心配套厂商，同时积极谋划引进1-2家新能源汽车厂商，进一步提高汽车价值链。紧抓东台高端新材料产业园建设，围绕祥鑫股份</w:t>
      </w:r>
      <w:r>
        <w:rPr>
          <w:rFonts w:hint="eastAsia" w:ascii="Times New Roman" w:hAnsi="Times New Roman" w:cs="Times New Roman"/>
          <w:sz w:val="28"/>
          <w:szCs w:val="28"/>
        </w:rPr>
        <w:t>、</w:t>
      </w:r>
      <w:r>
        <w:rPr>
          <w:rFonts w:ascii="Times New Roman" w:hAnsi="Times New Roman" w:cs="Times New Roman"/>
          <w:sz w:val="28"/>
          <w:szCs w:val="28"/>
        </w:rPr>
        <w:t>蓝建集团，推进特种铝合金材料</w:t>
      </w:r>
      <w:r>
        <w:rPr>
          <w:rFonts w:hint="eastAsia" w:ascii="Times New Roman" w:hAnsi="Times New Roman" w:cs="Times New Roman"/>
          <w:sz w:val="28"/>
          <w:szCs w:val="28"/>
        </w:rPr>
        <w:t>、P</w:t>
      </w:r>
      <w:r>
        <w:rPr>
          <w:rFonts w:ascii="Times New Roman" w:hAnsi="Times New Roman" w:cs="Times New Roman"/>
          <w:sz w:val="28"/>
          <w:szCs w:val="28"/>
        </w:rPr>
        <w:t>CB为主的新材料加工与生产；大力发展汽车高端配套产业功能区，加快推进海峡汽车文化广场的建设，全面落实汽车超市、办证中心、汽车检测、用品市场、公寓住宅、餐饮酒店、休闲娱乐、汽车文化、商业配套、维修仓储等配套功能。</w:t>
      </w:r>
    </w:p>
    <w:p>
      <w:pPr>
        <w:ind w:firstLine="560"/>
        <w:rPr>
          <w:rFonts w:ascii="Times New Roman" w:hAnsi="Times New Roman" w:cs="Times New Roman"/>
          <w:sz w:val="28"/>
          <w:szCs w:val="28"/>
        </w:rPr>
      </w:pPr>
      <w:r>
        <w:rPr>
          <w:rFonts w:ascii="Times New Roman" w:hAnsi="Times New Roman" w:cs="Times New Roman"/>
          <w:sz w:val="28"/>
          <w:szCs w:val="28"/>
        </w:rPr>
        <w:t>依托闽侯经济技术开发区主园区，围绕福特科、</w:t>
      </w:r>
      <w:r>
        <w:rPr>
          <w:rFonts w:hint="eastAsia" w:ascii="Times New Roman" w:hAnsi="Times New Roman" w:cs="Times New Roman"/>
          <w:sz w:val="28"/>
          <w:szCs w:val="28"/>
        </w:rPr>
        <w:t>天石源</w:t>
      </w:r>
      <w:r>
        <w:rPr>
          <w:rFonts w:ascii="Times New Roman" w:hAnsi="Times New Roman" w:cs="Times New Roman"/>
          <w:sz w:val="28"/>
          <w:szCs w:val="28"/>
        </w:rPr>
        <w:t>、</w:t>
      </w:r>
      <w:r>
        <w:rPr>
          <w:rFonts w:hint="eastAsia" w:ascii="Times New Roman" w:hAnsi="Times New Roman" w:cs="Times New Roman"/>
          <w:sz w:val="28"/>
          <w:szCs w:val="28"/>
        </w:rPr>
        <w:t>合盈、顺邦防护、贝奇</w:t>
      </w:r>
      <w:r>
        <w:rPr>
          <w:rFonts w:ascii="Times New Roman" w:hAnsi="Times New Roman" w:cs="Times New Roman"/>
          <w:sz w:val="28"/>
          <w:szCs w:val="28"/>
        </w:rPr>
        <w:t>等重点企业，做大做强光电元器件和现代机械设备制造，大力推进食品饮料与鞋帽服装纺织产业的转型升级；依托白沙园、</w:t>
      </w:r>
      <w:r>
        <w:rPr>
          <w:rFonts w:hint="eastAsia" w:ascii="Times New Roman" w:hAnsi="Times New Roman" w:cs="Times New Roman"/>
          <w:sz w:val="28"/>
          <w:szCs w:val="28"/>
        </w:rPr>
        <w:t>鸿尾园</w:t>
      </w:r>
      <w:r>
        <w:rPr>
          <w:rFonts w:ascii="Times New Roman" w:hAnsi="Times New Roman" w:cs="Times New Roman"/>
          <w:sz w:val="28"/>
          <w:szCs w:val="28"/>
        </w:rPr>
        <w:t>，持续优化提升创意家居产业</w:t>
      </w:r>
      <w:r>
        <w:rPr>
          <w:rFonts w:hint="eastAsia" w:ascii="Times New Roman" w:hAnsi="Times New Roman" w:cs="Times New Roman"/>
          <w:sz w:val="28"/>
          <w:szCs w:val="28"/>
        </w:rPr>
        <w:t>和推进高端建材制造业</w:t>
      </w:r>
      <w:r>
        <w:rPr>
          <w:rFonts w:ascii="Times New Roman" w:hAnsi="Times New Roman" w:cs="Times New Roman"/>
          <w:sz w:val="28"/>
          <w:szCs w:val="28"/>
        </w:rPr>
        <w:t>，重点推进白沙海丝时尚居艺小镇创意产业园建设；依托福州软件园闽侯分园，重点布局新一代信息技术产业等产业。</w:t>
      </w:r>
    </w:p>
    <w:p>
      <w:pPr>
        <w:ind w:firstLine="560"/>
        <w:rPr>
          <w:rFonts w:ascii="Times New Roman" w:hAnsi="Times New Roman" w:cs="Times New Roman"/>
          <w:sz w:val="28"/>
          <w:szCs w:val="28"/>
        </w:rPr>
      </w:pPr>
      <w:r>
        <w:rPr>
          <w:rFonts w:ascii="Times New Roman" w:hAnsi="Times New Roman" w:cs="Times New Roman"/>
          <w:sz w:val="28"/>
          <w:szCs w:val="28"/>
        </w:rPr>
        <w:t>依托旗山湖三创园和南通科学城，围绕前沿信息技术、新材料、新能源及新能源汽车、智能制造等新兴领域，着力发展研发设计、创业孵化等科技服务业，协同发展软件、电商、大数据与云计算、物联网等信息技术服务业，重点打造技术创新区、智能创客街区、高端硏发区、智能共享区、创新数据硏发区、科创服务区、信息数据区、高端服务区等功能集聚区。</w:t>
      </w:r>
    </w:p>
    <w:p>
      <w:pPr>
        <w:ind w:firstLine="560"/>
        <w:rPr>
          <w:rFonts w:ascii="Times New Roman" w:hAnsi="Times New Roman" w:eastAsia="黑体" w:cs="Times New Roman"/>
          <w:color w:val="000000"/>
          <w:kern w:val="0"/>
          <w:sz w:val="32"/>
          <w:szCs w:val="32"/>
        </w:rPr>
      </w:pPr>
      <w:r>
        <w:rPr>
          <w:rFonts w:ascii="Times New Roman" w:hAnsi="Times New Roman" w:cs="Times New Roman"/>
          <w:sz w:val="28"/>
          <w:szCs w:val="28"/>
        </w:rPr>
        <w:t>发展壮大荆溪、南通、青口等乡镇物流园区，重点做大做强青口蓝海物流园，南通永辉物流园、美兴物流园，荆溪苏宁物流园，着力打造省级物流园集聚示范区。</w:t>
      </w:r>
      <w:r>
        <w:rPr>
          <w:rFonts w:ascii="Times New Roman" w:hAnsi="Times New Roman" w:eastAsia="黑体" w:cs="Times New Roman"/>
          <w:color w:val="000000"/>
          <w:kern w:val="0"/>
          <w:sz w:val="32"/>
          <w:szCs w:val="32"/>
        </w:rPr>
        <w:br w:type="page"/>
      </w:r>
    </w:p>
    <w:p>
      <w:pPr>
        <w:keepNext/>
        <w:keepLines/>
        <w:spacing w:before="120" w:after="120" w:line="578" w:lineRule="auto"/>
        <w:jc w:val="center"/>
        <w:outlineLvl w:val="0"/>
        <w:rPr>
          <w:rFonts w:ascii="Times New Roman" w:hAnsi="Times New Roman" w:eastAsia="黑体" w:cs="Times New Roman"/>
          <w:b/>
          <w:bCs/>
          <w:kern w:val="44"/>
          <w:sz w:val="36"/>
          <w:szCs w:val="44"/>
        </w:rPr>
      </w:pPr>
      <w:bookmarkStart w:id="63" w:name="_Toc91670005"/>
      <w:r>
        <w:rPr>
          <w:rFonts w:ascii="Times New Roman" w:hAnsi="Times New Roman" w:eastAsia="黑体" w:cs="Times New Roman"/>
          <w:b/>
          <w:bCs/>
          <w:kern w:val="44"/>
          <w:sz w:val="36"/>
          <w:szCs w:val="44"/>
        </w:rPr>
        <w:t>第七章</w:t>
      </w:r>
      <w:r>
        <w:rPr>
          <w:rFonts w:hint="eastAsia" w:ascii="Times New Roman" w:hAnsi="Times New Roman" w:eastAsia="黑体" w:cs="Times New Roman"/>
          <w:b/>
          <w:bCs/>
          <w:kern w:val="44"/>
          <w:sz w:val="36"/>
          <w:szCs w:val="44"/>
        </w:rPr>
        <w:t xml:space="preserve"> </w:t>
      </w:r>
      <w:r>
        <w:rPr>
          <w:rFonts w:ascii="Times New Roman" w:hAnsi="Times New Roman" w:eastAsia="黑体" w:cs="Times New Roman"/>
          <w:b/>
          <w:bCs/>
          <w:kern w:val="44"/>
          <w:sz w:val="36"/>
          <w:szCs w:val="44"/>
        </w:rPr>
        <w:t>重大工程</w:t>
      </w:r>
      <w:bookmarkEnd w:id="63"/>
    </w:p>
    <w:p>
      <w:pPr>
        <w:keepNext/>
        <w:keepLines/>
        <w:spacing w:before="120" w:after="120" w:line="360" w:lineRule="auto"/>
        <w:jc w:val="left"/>
        <w:outlineLvl w:val="1"/>
        <w:rPr>
          <w:rFonts w:ascii="Times New Roman" w:hAnsi="Times New Roman" w:eastAsia="黑体" w:cs="Times New Roman"/>
          <w:b/>
          <w:bCs/>
          <w:sz w:val="32"/>
          <w:szCs w:val="32"/>
        </w:rPr>
      </w:pPr>
      <w:bookmarkStart w:id="64" w:name="_Toc91670006"/>
      <w:r>
        <w:rPr>
          <w:rFonts w:ascii="Times New Roman" w:hAnsi="Times New Roman" w:eastAsia="黑体" w:cs="Times New Roman"/>
          <w:b/>
          <w:bCs/>
          <w:sz w:val="32"/>
          <w:szCs w:val="32"/>
        </w:rPr>
        <w:t>一、龙头企业引培工程</w:t>
      </w:r>
      <w:bookmarkEnd w:id="64"/>
    </w:p>
    <w:p>
      <w:pPr>
        <w:ind w:firstLine="560"/>
        <w:rPr>
          <w:rFonts w:ascii="Times New Roman" w:hAnsi="Times New Roman" w:cs="Times New Roman"/>
          <w:sz w:val="28"/>
          <w:szCs w:val="28"/>
        </w:rPr>
      </w:pPr>
      <w:r>
        <w:rPr>
          <w:rFonts w:ascii="Times New Roman" w:hAnsi="Times New Roman" w:cs="Times New Roman"/>
          <w:b/>
          <w:sz w:val="28"/>
          <w:szCs w:val="28"/>
        </w:rPr>
        <w:t>加快培育自有品牌企业。</w:t>
      </w:r>
      <w:r>
        <w:rPr>
          <w:rFonts w:ascii="Times New Roman" w:hAnsi="Times New Roman" w:cs="Times New Roman"/>
          <w:sz w:val="28"/>
          <w:szCs w:val="28"/>
        </w:rPr>
        <w:t>实施企业全生命周期孵化培育，为企业提供涵盖初创期、成长期、成熟期的“全生命周期”政策扶持。针对初创型企业，制定财政优惠政策，帮助企业聚集资金；针对成长型企业，提供应用场景示范项目，实施“本地场景本地企业优先进入”政策；针对成熟型企业，加强对企业科技创新和重大项目的扶持。</w:t>
      </w:r>
      <w:r>
        <w:rPr>
          <w:rFonts w:hint="eastAsia" w:ascii="Times New Roman" w:hAnsi="Times New Roman" w:cs="Times New Roman"/>
          <w:sz w:val="28"/>
          <w:szCs w:val="28"/>
        </w:rPr>
        <w:t>力争到2</w:t>
      </w:r>
      <w:r>
        <w:rPr>
          <w:rFonts w:ascii="Times New Roman" w:hAnsi="Times New Roman" w:cs="Times New Roman"/>
          <w:sz w:val="28"/>
          <w:szCs w:val="28"/>
        </w:rPr>
        <w:t>025</w:t>
      </w:r>
      <w:r>
        <w:rPr>
          <w:rFonts w:hint="eastAsia" w:ascii="Times New Roman" w:hAnsi="Times New Roman" w:cs="Times New Roman"/>
          <w:sz w:val="28"/>
          <w:szCs w:val="28"/>
        </w:rPr>
        <w:t>年，新培育自有品牌企业</w:t>
      </w:r>
      <w:r>
        <w:rPr>
          <w:rFonts w:ascii="Times New Roman" w:hAnsi="Times New Roman" w:cs="Times New Roman"/>
          <w:sz w:val="28"/>
          <w:szCs w:val="28"/>
        </w:rPr>
        <w:t>3</w:t>
      </w:r>
      <w:r>
        <w:rPr>
          <w:rFonts w:hint="eastAsia" w:ascii="Times New Roman" w:hAnsi="Times New Roman" w:cs="Times New Roman"/>
          <w:sz w:val="28"/>
          <w:szCs w:val="28"/>
        </w:rPr>
        <w:t>家。</w:t>
      </w:r>
    </w:p>
    <w:p>
      <w:pPr>
        <w:ind w:firstLine="560"/>
        <w:rPr>
          <w:rFonts w:ascii="Times New Roman" w:hAnsi="Times New Roman" w:cs="Times New Roman"/>
          <w:sz w:val="28"/>
          <w:szCs w:val="28"/>
        </w:rPr>
      </w:pPr>
      <w:r>
        <w:rPr>
          <w:rFonts w:ascii="Times New Roman" w:hAnsi="Times New Roman" w:cs="Times New Roman"/>
          <w:b/>
          <w:sz w:val="28"/>
          <w:szCs w:val="28"/>
        </w:rPr>
        <w:t>制定制造业龙头企业招引策略。</w:t>
      </w:r>
      <w:r>
        <w:rPr>
          <w:rFonts w:ascii="Times New Roman" w:hAnsi="Times New Roman" w:cs="Times New Roman"/>
          <w:sz w:val="28"/>
          <w:szCs w:val="28"/>
        </w:rPr>
        <w:t>鼓励和支持本土企业通过兼并、收购、参股等多种形式，在工业和信息化领域开展全球技术并购，实现技术整合、协同创新，加快推进产业集聚式发展。依托闽侯县重点行业领域，完善产业链重点环节布局。在汽车、机电、工艺品、食品饮料等重点产业全面实施“链长制”，由“链长”组建产业链升级专项小组，明确本地产业发展现状与方向，围绕供应链、价值链、创新链对本地产业链制定“强主链、延短链、谋新链”等具体办法措施，制定招商引资策略，做大做强本地产业。</w:t>
      </w:r>
      <w:r>
        <w:rPr>
          <w:rFonts w:hint="eastAsia" w:ascii="Times New Roman" w:hAnsi="Times New Roman" w:cs="Times New Roman"/>
          <w:sz w:val="28"/>
          <w:szCs w:val="28"/>
        </w:rPr>
        <w:t>力争到</w:t>
      </w:r>
      <w:r>
        <w:rPr>
          <w:rFonts w:ascii="Times New Roman" w:hAnsi="Times New Roman" w:cs="Times New Roman"/>
          <w:sz w:val="28"/>
          <w:szCs w:val="28"/>
        </w:rPr>
        <w:t>2025年，基于“链长制”招商的产业达到5个。</w:t>
      </w:r>
    </w:p>
    <w:p>
      <w:pPr>
        <w:keepNext/>
        <w:keepLines/>
        <w:spacing w:before="120" w:after="120" w:line="360" w:lineRule="auto"/>
        <w:jc w:val="left"/>
        <w:outlineLvl w:val="1"/>
        <w:rPr>
          <w:rFonts w:ascii="Times New Roman" w:hAnsi="Times New Roman" w:eastAsia="黑体" w:cs="Times New Roman"/>
          <w:b/>
          <w:bCs/>
          <w:sz w:val="32"/>
          <w:szCs w:val="32"/>
        </w:rPr>
      </w:pPr>
      <w:bookmarkStart w:id="65" w:name="_Toc91670007"/>
      <w:r>
        <w:rPr>
          <w:rFonts w:ascii="Times New Roman" w:hAnsi="Times New Roman" w:eastAsia="黑体" w:cs="Times New Roman"/>
          <w:b/>
          <w:bCs/>
          <w:sz w:val="32"/>
          <w:szCs w:val="32"/>
        </w:rPr>
        <w:t>二、重点项目推进工程</w:t>
      </w:r>
      <w:bookmarkEnd w:id="65"/>
    </w:p>
    <w:p>
      <w:pPr>
        <w:ind w:firstLine="560"/>
        <w:rPr>
          <w:rFonts w:ascii="Times New Roman" w:hAnsi="Times New Roman" w:cs="Times New Roman"/>
          <w:sz w:val="28"/>
          <w:szCs w:val="28"/>
        </w:rPr>
      </w:pPr>
      <w:r>
        <w:rPr>
          <w:rFonts w:ascii="Times New Roman" w:hAnsi="Times New Roman" w:cs="Times New Roman"/>
          <w:b/>
          <w:sz w:val="28"/>
          <w:szCs w:val="28"/>
        </w:rPr>
        <w:t>完善重大项目推进机制。</w:t>
      </w:r>
      <w:r>
        <w:rPr>
          <w:rFonts w:ascii="Times New Roman" w:hAnsi="Times New Roman" w:cs="Times New Roman"/>
          <w:sz w:val="28"/>
          <w:szCs w:val="28"/>
        </w:rPr>
        <w:t>强化对</w:t>
      </w:r>
      <w:r>
        <w:rPr>
          <w:rFonts w:hint="eastAsia" w:ascii="Times New Roman" w:hAnsi="Times New Roman" w:cs="Times New Roman"/>
          <w:sz w:val="28"/>
          <w:szCs w:val="28"/>
        </w:rPr>
        <w:t>工业</w:t>
      </w:r>
      <w:r>
        <w:rPr>
          <w:rFonts w:ascii="Times New Roman" w:hAnsi="Times New Roman" w:cs="Times New Roman"/>
          <w:sz w:val="28"/>
          <w:szCs w:val="28"/>
        </w:rPr>
        <w:t>重大项目和重点企业的服务，按照定人员、定职责、定时间、定进度的工作要求，完善重大项目推进机制，狠抓项目落实。建立形成“县主要领导每季度深入企业协调服务，分管领导不定期召开项目现场会、专题协调会，县</w:t>
      </w:r>
      <w:r>
        <w:rPr>
          <w:rFonts w:hint="eastAsia" w:ascii="Times New Roman" w:hAnsi="Times New Roman" w:cs="Times New Roman"/>
          <w:sz w:val="28"/>
          <w:szCs w:val="28"/>
        </w:rPr>
        <w:t>工</w:t>
      </w:r>
      <w:r>
        <w:rPr>
          <w:rFonts w:ascii="Times New Roman" w:hAnsi="Times New Roman" w:cs="Times New Roman"/>
          <w:sz w:val="28"/>
          <w:szCs w:val="28"/>
        </w:rPr>
        <w:t>信局常年跟踪服务”的三级跟踪服务体系。对重、特大项目，设立项目推进领导小组和对接联系窗口，形成“县领导亲自协调+一个</w:t>
      </w:r>
      <w:r>
        <w:rPr>
          <w:rFonts w:hint="eastAsia" w:ascii="Times New Roman" w:hAnsi="Times New Roman" w:cs="Times New Roman"/>
          <w:sz w:val="28"/>
          <w:szCs w:val="28"/>
        </w:rPr>
        <w:t>专</w:t>
      </w:r>
      <w:r>
        <w:rPr>
          <w:rFonts w:ascii="Times New Roman" w:hAnsi="Times New Roman" w:cs="Times New Roman"/>
          <w:sz w:val="28"/>
          <w:szCs w:val="28"/>
        </w:rPr>
        <w:t>班 +一个窗口（县</w:t>
      </w:r>
      <w:r>
        <w:rPr>
          <w:rFonts w:hint="eastAsia" w:ascii="Times New Roman" w:hAnsi="Times New Roman" w:cs="Times New Roman"/>
          <w:sz w:val="28"/>
          <w:szCs w:val="28"/>
        </w:rPr>
        <w:t>工</w:t>
      </w:r>
      <w:r>
        <w:rPr>
          <w:rFonts w:ascii="Times New Roman" w:hAnsi="Times New Roman" w:cs="Times New Roman"/>
          <w:sz w:val="28"/>
          <w:szCs w:val="28"/>
        </w:rPr>
        <w:t>信局） +专人现场跟踪”的重大项目推动服务机制，快速推动重、特大项目建设。</w:t>
      </w:r>
    </w:p>
    <w:p>
      <w:pPr>
        <w:ind w:firstLine="560"/>
        <w:rPr>
          <w:rFonts w:ascii="Times New Roman" w:hAnsi="Times New Roman" w:cs="Times New Roman"/>
          <w:sz w:val="28"/>
          <w:szCs w:val="28"/>
        </w:rPr>
      </w:pPr>
      <w:r>
        <w:rPr>
          <w:rFonts w:ascii="Times New Roman" w:hAnsi="Times New Roman" w:cs="Times New Roman"/>
          <w:b/>
          <w:sz w:val="28"/>
          <w:szCs w:val="28"/>
        </w:rPr>
        <w:t>加强重大项目要素保障。</w:t>
      </w:r>
      <w:r>
        <w:rPr>
          <w:rFonts w:ascii="Times New Roman" w:hAnsi="Times New Roman" w:cs="Times New Roman"/>
          <w:sz w:val="28"/>
          <w:szCs w:val="28"/>
        </w:rPr>
        <w:t>加强部门联动，强化</w:t>
      </w:r>
      <w:r>
        <w:rPr>
          <w:rFonts w:hint="eastAsia" w:ascii="Times New Roman" w:hAnsi="Times New Roman" w:cs="Times New Roman"/>
          <w:sz w:val="28"/>
          <w:szCs w:val="28"/>
        </w:rPr>
        <w:t>工业</w:t>
      </w:r>
      <w:r>
        <w:rPr>
          <w:rFonts w:ascii="Times New Roman" w:hAnsi="Times New Roman" w:cs="Times New Roman"/>
          <w:sz w:val="28"/>
          <w:szCs w:val="28"/>
        </w:rPr>
        <w:t>重大项目用地保障，确保项目引得进来、落得下来、建得起来。安排并用好产业发展资金，对重点发展的工业项目，给予相应资金支持，对重大工业项目实施“一企一策”。积极发挥财政资金杠杆作用，引导各方资金投向重点项目建设；加大项目融资力度，深化投融资体制改革，积极鼓励和引导民间资本和外资的进入。加大对新业态、新模式项目的用地和资金支持，推动企业退城入园、腾笼换鸟，优先保障科技含量高、经济效益好、资源消耗低、环境污染少的重大项目建设。加大重大项目产业配套及水电气等园区基础设施配套建设，推动产业要素聚集、产业环境培育。结合云计算、大数据、物联网、人工智能等新一代信息技术的发展，重点推进数据资源的集聚整合，保障数据这一新兴要素的供给。</w:t>
      </w:r>
    </w:p>
    <w:p>
      <w:pPr>
        <w:keepNext/>
        <w:keepLines/>
        <w:spacing w:before="120" w:after="120" w:line="360" w:lineRule="auto"/>
        <w:jc w:val="left"/>
        <w:outlineLvl w:val="1"/>
        <w:rPr>
          <w:rFonts w:ascii="Times New Roman" w:hAnsi="Times New Roman" w:eastAsia="黑体" w:cs="Times New Roman"/>
          <w:b/>
          <w:bCs/>
          <w:sz w:val="32"/>
          <w:szCs w:val="32"/>
        </w:rPr>
      </w:pPr>
      <w:bookmarkStart w:id="66" w:name="_Toc91670008"/>
      <w:r>
        <w:rPr>
          <w:rFonts w:ascii="Times New Roman" w:hAnsi="Times New Roman" w:eastAsia="黑体" w:cs="Times New Roman"/>
          <w:b/>
          <w:bCs/>
          <w:sz w:val="32"/>
          <w:szCs w:val="32"/>
        </w:rPr>
        <w:t>三、名品名牌创优工程</w:t>
      </w:r>
      <w:bookmarkEnd w:id="66"/>
    </w:p>
    <w:p>
      <w:pPr>
        <w:ind w:firstLine="560"/>
        <w:rPr>
          <w:rFonts w:ascii="Times New Roman" w:hAnsi="Times New Roman" w:cs="Times New Roman"/>
          <w:sz w:val="28"/>
          <w:szCs w:val="28"/>
        </w:rPr>
      </w:pPr>
      <w:r>
        <w:rPr>
          <w:rFonts w:ascii="Times New Roman" w:hAnsi="Times New Roman" w:cs="Times New Roman"/>
          <w:b/>
          <w:sz w:val="28"/>
          <w:szCs w:val="28"/>
        </w:rPr>
        <w:t>实施品牌培育行动。</w:t>
      </w:r>
      <w:r>
        <w:rPr>
          <w:rFonts w:ascii="Times New Roman" w:hAnsi="Times New Roman" w:cs="Times New Roman"/>
          <w:sz w:val="28"/>
          <w:szCs w:val="28"/>
        </w:rPr>
        <w:t>围绕闽侯县重点产业布局，推进“一企一标”工程，力争到</w:t>
      </w:r>
      <w:r>
        <w:rPr>
          <w:rFonts w:hint="eastAsia" w:ascii="Times New Roman" w:hAnsi="Times New Roman" w:cs="Times New Roman"/>
          <w:sz w:val="28"/>
          <w:szCs w:val="28"/>
        </w:rPr>
        <w:t>2</w:t>
      </w:r>
      <w:r>
        <w:rPr>
          <w:rFonts w:ascii="Times New Roman" w:hAnsi="Times New Roman" w:cs="Times New Roman"/>
          <w:sz w:val="28"/>
          <w:szCs w:val="28"/>
        </w:rPr>
        <w:t>025年，指导</w:t>
      </w:r>
      <w:r>
        <w:rPr>
          <w:rFonts w:hint="eastAsia" w:ascii="Times New Roman" w:hAnsi="Times New Roman" w:cs="Times New Roman"/>
          <w:sz w:val="28"/>
          <w:szCs w:val="28"/>
        </w:rPr>
        <w:t>5</w:t>
      </w:r>
      <w:r>
        <w:rPr>
          <w:rFonts w:ascii="Times New Roman" w:hAnsi="Times New Roman" w:cs="Times New Roman"/>
          <w:sz w:val="28"/>
          <w:szCs w:val="28"/>
        </w:rPr>
        <w:t>家以上企业建立科学、规范、系统的商标品牌战略实施体系。引导闽侯县主导产业向规模化、集约化、产业化方向发展。整合商标、名牌等各项服务职能，按照“服务一次、申报一次、多个成果”的工作思路，在汽车、机械加工、工艺品、食品饮料、生物医药等重点领域遴选出一批产品技术好、参与积极性高、行业发展潜力大的企业，做到培育一批、申报一批、储备一批，形成良性循环。</w:t>
      </w:r>
    </w:p>
    <w:p>
      <w:pPr>
        <w:ind w:firstLine="560"/>
        <w:rPr>
          <w:rFonts w:ascii="Times New Roman" w:hAnsi="Times New Roman" w:cs="Times New Roman"/>
          <w:sz w:val="28"/>
          <w:szCs w:val="28"/>
        </w:rPr>
      </w:pPr>
      <w:r>
        <w:rPr>
          <w:rFonts w:ascii="Times New Roman" w:hAnsi="Times New Roman" w:cs="Times New Roman"/>
          <w:b/>
          <w:sz w:val="28"/>
          <w:szCs w:val="28"/>
        </w:rPr>
        <w:t>实施质量提升行动。</w:t>
      </w:r>
      <w:r>
        <w:rPr>
          <w:rFonts w:ascii="Times New Roman" w:hAnsi="Times New Roman" w:cs="Times New Roman"/>
          <w:sz w:val="28"/>
          <w:szCs w:val="28"/>
        </w:rPr>
        <w:t>瞄准优势和特色产业，开展“一地一策、一厂一策、一品一策”行动，力争到</w:t>
      </w:r>
      <w:r>
        <w:rPr>
          <w:rFonts w:hint="eastAsia" w:ascii="Times New Roman" w:hAnsi="Times New Roman" w:cs="Times New Roman"/>
          <w:sz w:val="28"/>
          <w:szCs w:val="28"/>
        </w:rPr>
        <w:t>2</w:t>
      </w:r>
      <w:r>
        <w:rPr>
          <w:rFonts w:ascii="Times New Roman" w:hAnsi="Times New Roman" w:cs="Times New Roman"/>
          <w:sz w:val="28"/>
          <w:szCs w:val="28"/>
        </w:rPr>
        <w:t>025年，有针对性地制定</w:t>
      </w:r>
      <w:r>
        <w:rPr>
          <w:rFonts w:hint="eastAsia" w:ascii="Times New Roman" w:hAnsi="Times New Roman" w:cs="Times New Roman"/>
          <w:sz w:val="28"/>
          <w:szCs w:val="28"/>
        </w:rPr>
        <w:t>1</w:t>
      </w:r>
      <w:r>
        <w:rPr>
          <w:rFonts w:ascii="Times New Roman" w:hAnsi="Times New Roman" w:cs="Times New Roman"/>
          <w:sz w:val="28"/>
          <w:szCs w:val="28"/>
        </w:rPr>
        <w:t>0种以上产品或品牌的中长期提升工作方案，在质量信用、标准化试点申报等方面予以政策倾斜和全过程的服务指导。提升质量控制技术，完善质量管理机制，夯实质量发展基础，努力实现工业质量提升。鼓励企业追求卓越品质，形成具有自主知识产权的名牌产品，不断提升企业品牌价值。加强产品检验、检测、认证、监督抽查等过程中质量信息的采集、追踪、分析和处理，找准区域内企业存在的行业通病和质量短板，组织技术机构开展质量比对和会商会诊，为企业提供质量问题“一揽子”解决方案。</w:t>
      </w:r>
    </w:p>
    <w:p>
      <w:pPr>
        <w:rPr>
          <w:rFonts w:ascii="Times New Roman" w:hAnsi="Times New Roman" w:eastAsia="宋体" w:cs="Times New Roman"/>
          <w:szCs w:val="24"/>
        </w:rPr>
      </w:pPr>
    </w:p>
    <w:p>
      <w:pPr>
        <w:keepNext/>
        <w:keepLines/>
        <w:spacing w:before="120" w:after="120" w:line="360" w:lineRule="auto"/>
        <w:jc w:val="left"/>
        <w:outlineLvl w:val="1"/>
        <w:rPr>
          <w:rFonts w:ascii="Times New Roman" w:hAnsi="Times New Roman" w:eastAsia="黑体" w:cs="Times New Roman"/>
          <w:b/>
          <w:bCs/>
          <w:sz w:val="32"/>
          <w:szCs w:val="32"/>
        </w:rPr>
      </w:pPr>
      <w:bookmarkStart w:id="67" w:name="_Toc91670009"/>
      <w:r>
        <w:rPr>
          <w:rFonts w:ascii="Times New Roman" w:hAnsi="Times New Roman" w:eastAsia="黑体" w:cs="Times New Roman"/>
          <w:b/>
          <w:bCs/>
          <w:sz w:val="32"/>
          <w:szCs w:val="32"/>
        </w:rPr>
        <w:t>四、人才招引培育工程</w:t>
      </w:r>
      <w:bookmarkEnd w:id="67"/>
    </w:p>
    <w:p>
      <w:pPr>
        <w:ind w:firstLine="560"/>
        <w:rPr>
          <w:rFonts w:ascii="Times New Roman" w:hAnsi="Times New Roman" w:cs="Times New Roman"/>
          <w:sz w:val="28"/>
          <w:szCs w:val="28"/>
        </w:rPr>
      </w:pPr>
      <w:r>
        <w:rPr>
          <w:rFonts w:ascii="Times New Roman" w:hAnsi="Times New Roman" w:cs="Times New Roman"/>
          <w:b/>
          <w:sz w:val="28"/>
          <w:szCs w:val="28"/>
        </w:rPr>
        <w:t>大力招引高层次人才。</w:t>
      </w:r>
      <w:r>
        <w:rPr>
          <w:rFonts w:ascii="Times New Roman" w:hAnsi="Times New Roman" w:cs="Times New Roman"/>
          <w:sz w:val="28"/>
          <w:szCs w:val="28"/>
        </w:rPr>
        <w:t>聚焦重点产业领域，依托国家、省重大人才计划，全方位升级重大人才引进奖励政策，成立闽侯产业人才发展基金，大力引进“高精尖缺”高层次人才。依托产业链打造人才链，围绕重点产业、重点企业、重点项目，充分发挥重要计划牵引、重大项目带动、重点资金配套等引才作用，采取灵活多样的形式柔性引才，更精准引进一批高端人才和高层次“双创”战略团队。力争到</w:t>
      </w:r>
      <w:r>
        <w:rPr>
          <w:rFonts w:hint="eastAsia" w:ascii="Times New Roman" w:hAnsi="Times New Roman" w:cs="Times New Roman"/>
          <w:sz w:val="28"/>
          <w:szCs w:val="28"/>
        </w:rPr>
        <w:t>2</w:t>
      </w:r>
      <w:r>
        <w:rPr>
          <w:rFonts w:ascii="Times New Roman" w:hAnsi="Times New Roman" w:cs="Times New Roman"/>
          <w:sz w:val="28"/>
          <w:szCs w:val="28"/>
        </w:rPr>
        <w:t>025年，引进高层次人才累计达</w:t>
      </w:r>
      <w:r>
        <w:rPr>
          <w:rFonts w:hint="eastAsia" w:ascii="Times New Roman" w:hAnsi="Times New Roman" w:cs="Times New Roman"/>
          <w:sz w:val="28"/>
          <w:szCs w:val="28"/>
        </w:rPr>
        <w:t>8</w:t>
      </w:r>
      <w:r>
        <w:rPr>
          <w:rFonts w:ascii="Times New Roman" w:hAnsi="Times New Roman" w:cs="Times New Roman"/>
          <w:sz w:val="28"/>
          <w:szCs w:val="28"/>
        </w:rPr>
        <w:t>0名。</w:t>
      </w:r>
    </w:p>
    <w:p>
      <w:pPr>
        <w:ind w:firstLine="560"/>
        <w:rPr>
          <w:rFonts w:ascii="Times New Roman" w:hAnsi="Times New Roman" w:cs="Times New Roman"/>
          <w:sz w:val="28"/>
          <w:szCs w:val="28"/>
        </w:rPr>
      </w:pPr>
      <w:r>
        <w:rPr>
          <w:rFonts w:ascii="Times New Roman" w:hAnsi="Times New Roman" w:cs="Times New Roman"/>
          <w:b/>
          <w:sz w:val="28"/>
          <w:szCs w:val="28"/>
        </w:rPr>
        <w:t>实施本地英才回归计划。</w:t>
      </w:r>
      <w:r>
        <w:rPr>
          <w:rFonts w:ascii="Times New Roman" w:hAnsi="Times New Roman" w:cs="Times New Roman"/>
          <w:sz w:val="28"/>
          <w:szCs w:val="28"/>
        </w:rPr>
        <w:t>升级“双招双引”“双回双归”人才政策，积极开展能人回乡工程，实施能人回乡创业“</w:t>
      </w:r>
      <w:r>
        <w:rPr>
          <w:rFonts w:hint="eastAsia" w:ascii="Times New Roman" w:hAnsi="Times New Roman" w:cs="Times New Roman"/>
          <w:sz w:val="28"/>
          <w:szCs w:val="28"/>
        </w:rPr>
        <w:t>国家重大人才计划</w:t>
      </w:r>
      <w:r>
        <w:rPr>
          <w:rFonts w:ascii="Times New Roman" w:hAnsi="Times New Roman" w:cs="Times New Roman"/>
          <w:sz w:val="28"/>
          <w:szCs w:val="28"/>
        </w:rPr>
        <w:t>”。加强回乡创业企业家培训，支持回乡创业企业引进急需紧缺人才。开展闽侯籍在外高层次人才走访活动，建立在外人才信息库，聘请知名人士担任招才顾问和招才大使，吸引一批携带项目和技术的闽侯籍优秀人才回归家乡创新创业。</w:t>
      </w:r>
    </w:p>
    <w:p>
      <w:pPr>
        <w:ind w:firstLine="560"/>
        <w:rPr>
          <w:rFonts w:ascii="Times New Roman" w:hAnsi="Times New Roman" w:cs="Times New Roman"/>
          <w:sz w:val="28"/>
          <w:szCs w:val="28"/>
        </w:rPr>
      </w:pPr>
      <w:r>
        <w:rPr>
          <w:rFonts w:ascii="Times New Roman" w:hAnsi="Times New Roman" w:cs="Times New Roman"/>
          <w:b/>
          <w:sz w:val="28"/>
          <w:szCs w:val="28"/>
        </w:rPr>
        <w:t>大力开展校企合作。</w:t>
      </w:r>
      <w:r>
        <w:rPr>
          <w:rFonts w:ascii="Times New Roman" w:hAnsi="Times New Roman" w:cs="Times New Roman"/>
          <w:sz w:val="28"/>
          <w:szCs w:val="28"/>
        </w:rPr>
        <w:t>积极招引优秀应届生人才，实施“我选福建·梦圆闽侯”计划，完善大学生实习实训和创业就业工作机制，鼓励企事业单位在实习实训大学生中招聘、引进优秀人才。深化职业技能</w:t>
      </w:r>
      <w:bookmarkStart w:id="91" w:name="_GoBack"/>
      <w:bookmarkEnd w:id="91"/>
      <w:r>
        <w:rPr>
          <w:rFonts w:ascii="Times New Roman" w:hAnsi="Times New Roman" w:cs="Times New Roman"/>
          <w:sz w:val="28"/>
          <w:szCs w:val="28"/>
        </w:rPr>
        <w:t>培训体制机制改革，重点扶持市场急需、具有特色、就业竞争力强的专业，落实“厂中校”“校中厂”建设政策，鼓励引导回乡创业企业与职业（技工）院校联合办班，开展现代学徒制试点，推行“定向班、订单班、冠名班”人才培养模式，创建高技能人才培训基地。</w:t>
      </w:r>
      <w:r>
        <w:rPr>
          <w:rFonts w:hint="eastAsia" w:ascii="Times New Roman" w:hAnsi="Times New Roman" w:cs="Times New Roman"/>
          <w:sz w:val="28"/>
          <w:szCs w:val="28"/>
        </w:rPr>
        <w:t>力争到</w:t>
      </w:r>
      <w:r>
        <w:rPr>
          <w:rFonts w:ascii="Times New Roman" w:hAnsi="Times New Roman" w:cs="Times New Roman"/>
          <w:sz w:val="28"/>
          <w:szCs w:val="28"/>
        </w:rPr>
        <w:t>2025年，建立人才实训（培训）基地累计达3个。</w:t>
      </w:r>
    </w:p>
    <w:p>
      <w:pPr>
        <w:ind w:firstLine="560"/>
        <w:rPr>
          <w:rFonts w:ascii="Times New Roman" w:hAnsi="Times New Roman" w:cs="Times New Roman"/>
          <w:sz w:val="28"/>
          <w:szCs w:val="28"/>
        </w:rPr>
      </w:pPr>
      <w:r>
        <w:rPr>
          <w:rFonts w:ascii="Times New Roman" w:hAnsi="Times New Roman" w:cs="Times New Roman"/>
          <w:b/>
          <w:sz w:val="28"/>
          <w:szCs w:val="28"/>
        </w:rPr>
        <w:t>实施校</w:t>
      </w:r>
      <w:r>
        <w:rPr>
          <w:rFonts w:hint="eastAsia" w:ascii="Times New Roman" w:hAnsi="Times New Roman" w:cs="Times New Roman"/>
          <w:b/>
          <w:sz w:val="28"/>
          <w:szCs w:val="28"/>
        </w:rPr>
        <w:t>地</w:t>
      </w:r>
      <w:r>
        <w:rPr>
          <w:rFonts w:ascii="Times New Roman" w:hAnsi="Times New Roman" w:cs="Times New Roman"/>
          <w:b/>
          <w:sz w:val="28"/>
          <w:szCs w:val="28"/>
        </w:rPr>
        <w:t>合作。</w:t>
      </w:r>
      <w:r>
        <w:rPr>
          <w:rFonts w:ascii="Times New Roman" w:hAnsi="Times New Roman" w:cs="Times New Roman"/>
          <w:sz w:val="28"/>
          <w:szCs w:val="28"/>
        </w:rPr>
        <w:t>按照“巩固、深化、提高”的总要求，实施</w:t>
      </w:r>
      <w:r>
        <w:rPr>
          <w:rFonts w:hint="eastAsia" w:ascii="Times New Roman" w:hAnsi="Times New Roman" w:cs="Times New Roman"/>
          <w:sz w:val="28"/>
          <w:szCs w:val="28"/>
        </w:rPr>
        <w:t>学</w:t>
      </w:r>
      <w:r>
        <w:rPr>
          <w:rFonts w:ascii="Times New Roman" w:hAnsi="Times New Roman" w:cs="Times New Roman"/>
          <w:sz w:val="28"/>
          <w:szCs w:val="28"/>
        </w:rPr>
        <w:t>校</w:t>
      </w:r>
      <w:r>
        <w:rPr>
          <w:rFonts w:hint="eastAsia" w:ascii="Times New Roman" w:hAnsi="Times New Roman" w:cs="Times New Roman"/>
          <w:sz w:val="28"/>
          <w:szCs w:val="28"/>
        </w:rPr>
        <w:t>地方</w:t>
      </w:r>
      <w:r>
        <w:rPr>
          <w:rFonts w:ascii="Times New Roman" w:hAnsi="Times New Roman" w:cs="Times New Roman"/>
          <w:sz w:val="28"/>
          <w:szCs w:val="28"/>
        </w:rPr>
        <w:t>合作，着力引进更多项目、引育更多人才、转化更多成果。与福州大学城中高校建立产学研联合培养合作机制，推进校企双向互动、精准对接，</w:t>
      </w:r>
      <w:r>
        <w:rPr>
          <w:rFonts w:hint="eastAsia" w:ascii="Times New Roman" w:hAnsi="Times New Roman" w:cs="Times New Roman"/>
          <w:sz w:val="28"/>
          <w:szCs w:val="28"/>
        </w:rPr>
        <w:t>加速高校科技成果转移转化。</w:t>
      </w:r>
      <w:r>
        <w:rPr>
          <w:rFonts w:ascii="Times New Roman" w:hAnsi="Times New Roman" w:cs="Times New Roman"/>
          <w:sz w:val="28"/>
          <w:szCs w:val="28"/>
        </w:rPr>
        <w:t>支持企业承接延伸院士专家工作站、博士后创新实践基地、工程技术研究中心等创新平台，积极推进企业与高校科研院所建立校企合作关系，扩大规上企业研发机构覆盖率。</w:t>
      </w:r>
      <w:r>
        <w:rPr>
          <w:rFonts w:hint="eastAsia" w:ascii="Times New Roman" w:hAnsi="Times New Roman" w:cs="Times New Roman"/>
          <w:sz w:val="28"/>
          <w:szCs w:val="28"/>
        </w:rPr>
        <w:t>力争到</w:t>
      </w:r>
      <w:r>
        <w:rPr>
          <w:rFonts w:ascii="Times New Roman" w:hAnsi="Times New Roman" w:cs="Times New Roman"/>
          <w:sz w:val="28"/>
          <w:szCs w:val="28"/>
        </w:rPr>
        <w:t>2025年，建立专家（院士）工作站累计达60个。</w:t>
      </w:r>
    </w:p>
    <w:p>
      <w:pPr>
        <w:ind w:firstLine="560"/>
        <w:rPr>
          <w:rFonts w:ascii="Times New Roman" w:hAnsi="Times New Roman" w:cs="Times New Roman"/>
          <w:sz w:val="28"/>
          <w:szCs w:val="28"/>
        </w:rPr>
      </w:pPr>
      <w:r>
        <w:rPr>
          <w:rFonts w:ascii="Times New Roman" w:hAnsi="Times New Roman" w:cs="Times New Roman"/>
          <w:b/>
          <w:sz w:val="28"/>
          <w:szCs w:val="28"/>
        </w:rPr>
        <w:t>强化人才服务保障。</w:t>
      </w:r>
      <w:r>
        <w:rPr>
          <w:rFonts w:ascii="Times New Roman" w:hAnsi="Times New Roman" w:cs="Times New Roman"/>
          <w:sz w:val="28"/>
          <w:szCs w:val="28"/>
        </w:rPr>
        <w:t>将人才住房保障纳入全县住房保障体系，建设高品质人才公寓。优化人才创新创业服务环境，打造人才“一站式”综合服务平台，对引进的高层次人才创业给予购房补贴、公租房配租和房租补贴等优惠，其子女在户口、教育等方面享受绿色通道，为高层次人才在职称评审、社保有待、医疗保健、配偶就业等方面提供全方位服务。</w:t>
      </w:r>
    </w:p>
    <w:p>
      <w:pPr>
        <w:keepNext/>
        <w:keepLines/>
        <w:spacing w:before="120" w:after="120" w:line="360" w:lineRule="auto"/>
        <w:jc w:val="left"/>
        <w:outlineLvl w:val="1"/>
        <w:rPr>
          <w:rFonts w:ascii="Times New Roman" w:hAnsi="Times New Roman" w:eastAsia="黑体" w:cs="Times New Roman"/>
          <w:b/>
          <w:bCs/>
          <w:sz w:val="32"/>
          <w:szCs w:val="32"/>
        </w:rPr>
      </w:pPr>
      <w:bookmarkStart w:id="68" w:name="_Toc91670010"/>
      <w:r>
        <w:rPr>
          <w:rFonts w:ascii="Times New Roman" w:hAnsi="Times New Roman" w:eastAsia="黑体" w:cs="Times New Roman"/>
          <w:b/>
          <w:bCs/>
          <w:sz w:val="32"/>
          <w:szCs w:val="32"/>
        </w:rPr>
        <w:t>五、科创载体建设工程</w:t>
      </w:r>
      <w:bookmarkEnd w:id="68"/>
    </w:p>
    <w:p>
      <w:pPr>
        <w:ind w:firstLine="560"/>
        <w:rPr>
          <w:rFonts w:ascii="Times New Roman" w:hAnsi="Times New Roman" w:cs="Times New Roman"/>
          <w:sz w:val="28"/>
          <w:szCs w:val="28"/>
        </w:rPr>
      </w:pPr>
      <w:r>
        <w:rPr>
          <w:rFonts w:ascii="Times New Roman" w:hAnsi="Times New Roman" w:cs="Times New Roman"/>
          <w:b/>
          <w:sz w:val="28"/>
          <w:szCs w:val="28"/>
        </w:rPr>
        <w:t>加强科技创新载体平台建设。</w:t>
      </w:r>
      <w:r>
        <w:rPr>
          <w:rFonts w:ascii="Times New Roman" w:hAnsi="Times New Roman" w:cs="Times New Roman"/>
          <w:sz w:val="28"/>
          <w:szCs w:val="28"/>
        </w:rPr>
        <w:t>支持国内外知名高校科研院所、大型企业等在闽侯县设立分院（所）、实验室、研发中心、技术中心等技术研发创新平台，提高闽侯县工业和信息化领域的技术研发创新能力。探索开展政产学研用合作新模式，鼓励构建以企业为主导、产学研用合作的工业技术创新战略联盟，支持高校、研究所和企业共建产业技术协同创新平台，联合攻关和突破一批工业领域重大关键共性技术。推动闽侯县科技创新公共服务平台建设，集成人才交流、资本融通、成果认证、技术转移、培训服务等功能，促进各要素的流通与对接，加强创新资源的整合开放与共享，形成产学研用协同创新创业生态，打造集大中小企业、高校、科研院所和创客协同互动的共享开放平台。</w:t>
      </w:r>
      <w:r>
        <w:rPr>
          <w:rFonts w:hint="eastAsia" w:ascii="Times New Roman" w:hAnsi="Times New Roman" w:cs="Times New Roman"/>
          <w:sz w:val="28"/>
          <w:szCs w:val="28"/>
        </w:rPr>
        <w:t>力争到</w:t>
      </w:r>
      <w:r>
        <w:rPr>
          <w:rFonts w:ascii="Times New Roman" w:hAnsi="Times New Roman" w:cs="Times New Roman"/>
          <w:sz w:val="28"/>
          <w:szCs w:val="28"/>
        </w:rPr>
        <w:t>2025年，建立产业公共服务平台累计达</w:t>
      </w:r>
      <w:r>
        <w:rPr>
          <w:rFonts w:hint="eastAsia" w:ascii="Times New Roman" w:hAnsi="Times New Roman" w:cs="Times New Roman"/>
          <w:sz w:val="28"/>
          <w:szCs w:val="28"/>
        </w:rPr>
        <w:t>5</w:t>
      </w:r>
      <w:r>
        <w:rPr>
          <w:rFonts w:ascii="Times New Roman" w:hAnsi="Times New Roman" w:cs="Times New Roman"/>
          <w:sz w:val="28"/>
          <w:szCs w:val="28"/>
        </w:rPr>
        <w:t>个。</w:t>
      </w:r>
    </w:p>
    <w:p>
      <w:pPr>
        <w:ind w:firstLine="560"/>
        <w:rPr>
          <w:rFonts w:ascii="Times New Roman" w:hAnsi="Times New Roman" w:cs="Times New Roman"/>
          <w:sz w:val="28"/>
          <w:szCs w:val="28"/>
        </w:rPr>
      </w:pPr>
      <w:r>
        <w:rPr>
          <w:rFonts w:ascii="Times New Roman" w:hAnsi="Times New Roman" w:cs="Times New Roman"/>
          <w:b/>
          <w:sz w:val="28"/>
          <w:szCs w:val="28"/>
        </w:rPr>
        <w:t>大力推进科技服务业发展。</w:t>
      </w:r>
      <w:r>
        <w:rPr>
          <w:rFonts w:ascii="Times New Roman" w:hAnsi="Times New Roman" w:cs="Times New Roman"/>
          <w:sz w:val="28"/>
          <w:szCs w:val="28"/>
        </w:rPr>
        <w:t>推动闽侯县科创服务中心建设，重点发展政策解读、科技咨询、人力资源、检验检测、知识产权、投融资对接、创新孵化、品牌推广等科技服务业，培植壮大科技服务市场主体，创新科技服务模式，促进科技服务业规模化发展。加强工业领域知识产权和专利执法维权工作，推动闽侯在线知识产权服务平台建设，推进专利基础信息资源开放共享，探索开展国家专利质押融资试点建设。鼓励本县工业企业通过申请福建省技改基金等产业资金，推动企业科技创新与转型升级，助力企业发展壮大。</w:t>
      </w:r>
      <w:r>
        <w:rPr>
          <w:rFonts w:hint="eastAsia" w:ascii="Times New Roman" w:hAnsi="Times New Roman" w:cs="Times New Roman"/>
          <w:sz w:val="28"/>
          <w:szCs w:val="28"/>
        </w:rPr>
        <w:t>力争到</w:t>
      </w:r>
      <w:r>
        <w:rPr>
          <w:rFonts w:ascii="Times New Roman" w:hAnsi="Times New Roman" w:cs="Times New Roman"/>
          <w:sz w:val="28"/>
          <w:szCs w:val="28"/>
        </w:rPr>
        <w:t>2025年，引进科技服务企业20家。</w:t>
      </w:r>
    </w:p>
    <w:p>
      <w:pPr>
        <w:widowControl/>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br w:type="page"/>
      </w:r>
    </w:p>
    <w:p>
      <w:pPr>
        <w:keepNext/>
        <w:keepLines/>
        <w:spacing w:before="120" w:after="120" w:line="578" w:lineRule="auto"/>
        <w:jc w:val="center"/>
        <w:outlineLvl w:val="0"/>
        <w:rPr>
          <w:rFonts w:ascii="Times New Roman" w:hAnsi="Times New Roman" w:eastAsia="黑体" w:cs="Times New Roman"/>
          <w:b/>
          <w:bCs/>
          <w:kern w:val="44"/>
          <w:sz w:val="36"/>
          <w:szCs w:val="44"/>
        </w:rPr>
      </w:pPr>
      <w:bookmarkStart w:id="69" w:name="_Toc91670011"/>
      <w:r>
        <w:rPr>
          <w:rFonts w:ascii="Times New Roman" w:hAnsi="Times New Roman" w:eastAsia="黑体" w:cs="Times New Roman"/>
          <w:b/>
          <w:bCs/>
          <w:kern w:val="44"/>
          <w:sz w:val="36"/>
          <w:szCs w:val="44"/>
        </w:rPr>
        <w:t>第八章</w:t>
      </w:r>
      <w:r>
        <w:rPr>
          <w:rFonts w:hint="eastAsia" w:ascii="Times New Roman" w:hAnsi="Times New Roman" w:eastAsia="黑体" w:cs="Times New Roman"/>
          <w:b/>
          <w:bCs/>
          <w:kern w:val="44"/>
          <w:sz w:val="36"/>
          <w:szCs w:val="44"/>
        </w:rPr>
        <w:t xml:space="preserve"> </w:t>
      </w:r>
      <w:r>
        <w:rPr>
          <w:rFonts w:ascii="Times New Roman" w:hAnsi="Times New Roman" w:eastAsia="黑体" w:cs="Times New Roman"/>
          <w:b/>
          <w:bCs/>
          <w:kern w:val="44"/>
          <w:sz w:val="36"/>
          <w:szCs w:val="44"/>
        </w:rPr>
        <w:t>保障措施</w:t>
      </w:r>
      <w:bookmarkEnd w:id="69"/>
    </w:p>
    <w:p>
      <w:pPr>
        <w:keepNext/>
        <w:keepLines/>
        <w:tabs>
          <w:tab w:val="center" w:pos="4153"/>
        </w:tabs>
        <w:spacing w:before="120" w:after="120" w:line="360" w:lineRule="auto"/>
        <w:jc w:val="left"/>
        <w:outlineLvl w:val="1"/>
        <w:rPr>
          <w:rFonts w:ascii="Times New Roman" w:hAnsi="Times New Roman" w:eastAsia="黑体" w:cs="Times New Roman"/>
          <w:b/>
          <w:bCs/>
          <w:sz w:val="32"/>
          <w:szCs w:val="32"/>
        </w:rPr>
      </w:pPr>
      <w:bookmarkStart w:id="70" w:name="_Toc91670012"/>
      <w:r>
        <w:rPr>
          <w:rFonts w:ascii="Times New Roman" w:hAnsi="Times New Roman" w:eastAsia="黑体" w:cs="Times New Roman"/>
          <w:b/>
          <w:bCs/>
          <w:sz w:val="32"/>
          <w:szCs w:val="32"/>
        </w:rPr>
        <w:t>一、健全组织实施机制</w:t>
      </w:r>
      <w:bookmarkEnd w:id="70"/>
    </w:p>
    <w:p>
      <w:pPr>
        <w:keepNext/>
        <w:keepLines/>
        <w:spacing w:before="120" w:after="120" w:line="360" w:lineRule="auto"/>
        <w:jc w:val="left"/>
        <w:outlineLvl w:val="2"/>
        <w:rPr>
          <w:rFonts w:ascii="Times New Roman" w:hAnsi="Times New Roman" w:cs="Times New Roman"/>
          <w:b/>
          <w:bCs/>
          <w:sz w:val="30"/>
          <w:szCs w:val="32"/>
        </w:rPr>
      </w:pPr>
      <w:bookmarkStart w:id="71" w:name="_Toc91670013"/>
      <w:r>
        <w:rPr>
          <w:rFonts w:ascii="Times New Roman" w:hAnsi="Times New Roman" w:cs="Times New Roman"/>
          <w:b/>
          <w:bCs/>
          <w:sz w:val="30"/>
          <w:szCs w:val="32"/>
        </w:rPr>
        <w:t>（一）加强组织协调</w:t>
      </w:r>
      <w:bookmarkEnd w:id="71"/>
    </w:p>
    <w:p>
      <w:pPr>
        <w:ind w:firstLine="560"/>
        <w:rPr>
          <w:rFonts w:ascii="Times New Roman" w:hAnsi="Times New Roman" w:cs="Times New Roman"/>
          <w:sz w:val="28"/>
          <w:szCs w:val="28"/>
        </w:rPr>
      </w:pPr>
      <w:r>
        <w:rPr>
          <w:rFonts w:ascii="Times New Roman" w:hAnsi="Times New Roman" w:cs="Times New Roman"/>
          <w:sz w:val="28"/>
          <w:szCs w:val="28"/>
        </w:rPr>
        <w:t>建立县政府统一领导、分级负责、分工合理、权责明确、协调有力的领导组织协调机制，加强各县直职能部门、园区管委会的统筹协调，形成乡镇联动、部门协动、政企互动的全方位组织协调格局。针对重点产业，以“强主链、延短链、谋新链”为原则，全面推行“链长制”。推动“一个产业链发展规划、一套产业链发展支持政策、一个产业链发展空间平台、一批产业链龙头企业培育、一个产业链共性技术支撑平台、一支产业链专业招商队伍、一名产业链发展指导专员、一个产业链发展分工责任机制和一个产业链年度工作计划”的“九个一”机制，加快促进产业链上下游、产供销、大中小企业协同发展，全力解决工业企业发展过程中的突出矛盾和重点问题，打造区域级产业集群，推动产业高质量发展。</w:t>
      </w:r>
    </w:p>
    <w:p>
      <w:pPr>
        <w:keepNext/>
        <w:keepLines/>
        <w:spacing w:before="120" w:after="120" w:line="360" w:lineRule="auto"/>
        <w:jc w:val="left"/>
        <w:outlineLvl w:val="2"/>
        <w:rPr>
          <w:rFonts w:ascii="Times New Roman" w:hAnsi="Times New Roman" w:cs="Times New Roman"/>
          <w:b/>
          <w:bCs/>
          <w:sz w:val="30"/>
          <w:szCs w:val="32"/>
        </w:rPr>
      </w:pPr>
      <w:bookmarkStart w:id="72" w:name="_Toc91670014"/>
      <w:r>
        <w:rPr>
          <w:rFonts w:ascii="Times New Roman" w:hAnsi="Times New Roman" w:cs="Times New Roman"/>
          <w:b/>
          <w:bCs/>
          <w:sz w:val="30"/>
          <w:szCs w:val="32"/>
        </w:rPr>
        <w:t>（二）规范规划管理</w:t>
      </w:r>
      <w:bookmarkEnd w:id="72"/>
    </w:p>
    <w:p>
      <w:pPr>
        <w:ind w:firstLine="560"/>
        <w:rPr>
          <w:rFonts w:ascii="Times New Roman" w:hAnsi="Times New Roman" w:cs="Times New Roman"/>
          <w:sz w:val="28"/>
          <w:szCs w:val="28"/>
        </w:rPr>
      </w:pPr>
      <w:r>
        <w:rPr>
          <w:rFonts w:ascii="Times New Roman" w:hAnsi="Times New Roman" w:cs="Times New Roman"/>
          <w:sz w:val="28"/>
          <w:szCs w:val="28"/>
        </w:rPr>
        <w:t>强化规划的权威性，加强与各专项规划、园区规划以及年度计划的衔接，通过专项规划、园区规划和年度计划分解，确保规划各项目标任务全面落实。加强规划实施过程管理，建立规划公示、评价等制度，加强对规划实施的跟踪分析和督促检查，适时掌握规划实施的进展情况，并随着市场、政策、环境等因素的变化，及时对规划做出适当调整。在规划实施过程中，组织开展中期评估和终期实施评价。</w:t>
      </w:r>
    </w:p>
    <w:p>
      <w:pPr>
        <w:keepNext/>
        <w:keepLines/>
        <w:spacing w:before="120" w:after="120" w:line="360" w:lineRule="auto"/>
        <w:jc w:val="left"/>
        <w:outlineLvl w:val="2"/>
        <w:rPr>
          <w:rFonts w:ascii="Times New Roman" w:hAnsi="Times New Roman" w:cs="Times New Roman"/>
          <w:b/>
          <w:bCs/>
          <w:sz w:val="30"/>
          <w:szCs w:val="32"/>
        </w:rPr>
      </w:pPr>
      <w:bookmarkStart w:id="73" w:name="_Toc91670015"/>
      <w:r>
        <w:rPr>
          <w:rFonts w:ascii="Times New Roman" w:hAnsi="Times New Roman" w:cs="Times New Roman"/>
          <w:b/>
          <w:bCs/>
          <w:sz w:val="30"/>
          <w:szCs w:val="32"/>
        </w:rPr>
        <w:t>（三）强化监督考核</w:t>
      </w:r>
      <w:bookmarkEnd w:id="73"/>
    </w:p>
    <w:p>
      <w:pPr>
        <w:ind w:firstLine="560"/>
        <w:rPr>
          <w:rFonts w:ascii="Times New Roman" w:hAnsi="Times New Roman" w:cs="Times New Roman"/>
          <w:sz w:val="28"/>
          <w:szCs w:val="28"/>
        </w:rPr>
      </w:pPr>
      <w:r>
        <w:rPr>
          <w:rFonts w:ascii="Times New Roman" w:hAnsi="Times New Roman" w:cs="Times New Roman"/>
          <w:sz w:val="28"/>
          <w:szCs w:val="28"/>
        </w:rPr>
        <w:t>强化对开发区、工业园区及县区工业发展的考核评价，按照科学引导、分类指导、突出个性、方便操作的原则，对开发区、工业园区及县区工业发展实行科学化考核，充分发挥综合考核评价体系的导向性、前瞻性、激励性作用，全面提升工作效能。建立健全监督考核制度，制定一整套包括登记立项、检查督办、办结反馈等环节的科学规范的操作程序，把监督考核纳入科学化、规范化管理范畴。建立常态化目标责任推进机制及督查考评机制，将考核结果作为各级各部门领导干部综合考评的重要内容。</w:t>
      </w:r>
    </w:p>
    <w:p>
      <w:pPr>
        <w:keepNext/>
        <w:keepLines/>
        <w:spacing w:before="120" w:after="120" w:line="360" w:lineRule="auto"/>
        <w:jc w:val="left"/>
        <w:outlineLvl w:val="1"/>
        <w:rPr>
          <w:rFonts w:ascii="Times New Roman" w:hAnsi="Times New Roman" w:eastAsia="黑体" w:cs="Times New Roman"/>
          <w:b/>
          <w:bCs/>
          <w:sz w:val="32"/>
          <w:szCs w:val="32"/>
        </w:rPr>
      </w:pPr>
      <w:bookmarkStart w:id="74" w:name="_Toc91670016"/>
      <w:r>
        <w:rPr>
          <w:rFonts w:ascii="Times New Roman" w:hAnsi="Times New Roman" w:eastAsia="黑体" w:cs="Times New Roman"/>
          <w:b/>
          <w:bCs/>
          <w:sz w:val="32"/>
          <w:szCs w:val="32"/>
        </w:rPr>
        <w:t>二、推进供给侧结构性改革</w:t>
      </w:r>
      <w:bookmarkEnd w:id="74"/>
    </w:p>
    <w:p>
      <w:pPr>
        <w:keepNext/>
        <w:keepLines/>
        <w:spacing w:before="120" w:after="120" w:line="360" w:lineRule="auto"/>
        <w:jc w:val="left"/>
        <w:outlineLvl w:val="2"/>
        <w:rPr>
          <w:rFonts w:ascii="Times New Roman" w:hAnsi="Times New Roman" w:cs="Times New Roman"/>
          <w:b/>
          <w:bCs/>
          <w:sz w:val="30"/>
          <w:szCs w:val="32"/>
        </w:rPr>
      </w:pPr>
      <w:bookmarkStart w:id="75" w:name="_Toc91670017"/>
      <w:r>
        <w:rPr>
          <w:rFonts w:ascii="Times New Roman" w:hAnsi="Times New Roman" w:cs="Times New Roman"/>
          <w:b/>
          <w:bCs/>
          <w:sz w:val="30"/>
          <w:szCs w:val="32"/>
        </w:rPr>
        <w:t>（一）促进结构调整</w:t>
      </w:r>
      <w:bookmarkEnd w:id="75"/>
    </w:p>
    <w:p>
      <w:pPr>
        <w:ind w:firstLine="560"/>
        <w:rPr>
          <w:rFonts w:ascii="Times New Roman" w:hAnsi="Times New Roman" w:cs="Times New Roman"/>
          <w:sz w:val="28"/>
          <w:szCs w:val="28"/>
        </w:rPr>
      </w:pPr>
      <w:r>
        <w:rPr>
          <w:rFonts w:ascii="Times New Roman" w:hAnsi="Times New Roman" w:cs="Times New Roman"/>
          <w:sz w:val="28"/>
          <w:szCs w:val="28"/>
        </w:rPr>
        <w:t>改革产业组织结构，通过落后产能淘汰、“僵尸企业”退出和兼并重组，释放产业用地空间，提高产业集中度。立足全县产业发展重点领域，严守“三线一单”，重点发展知识和技术密集型、资源依赖度低、环境友好的高技术产业和服务型制造业。严格实施产业结构调整负面清单管理制度，动态滚动更新负面清单，编制相应地方能耗标准，梳理环保、能耗、质量、安全、技术等方面的法律法规和产业政策，形成协同推进产业结构调整的政策合力。</w:t>
      </w:r>
    </w:p>
    <w:p>
      <w:pPr>
        <w:keepNext/>
        <w:keepLines/>
        <w:spacing w:before="120" w:after="120" w:line="360" w:lineRule="auto"/>
        <w:jc w:val="left"/>
        <w:outlineLvl w:val="2"/>
        <w:rPr>
          <w:rFonts w:ascii="Times New Roman" w:hAnsi="Times New Roman" w:cs="Times New Roman"/>
          <w:b/>
          <w:bCs/>
          <w:sz w:val="30"/>
          <w:szCs w:val="32"/>
        </w:rPr>
      </w:pPr>
      <w:bookmarkStart w:id="76" w:name="_Toc91670018"/>
      <w:r>
        <w:rPr>
          <w:rFonts w:ascii="Times New Roman" w:hAnsi="Times New Roman" w:cs="Times New Roman"/>
          <w:b/>
          <w:bCs/>
          <w:sz w:val="30"/>
          <w:szCs w:val="32"/>
        </w:rPr>
        <w:t>（二）优化资源配置</w:t>
      </w:r>
      <w:bookmarkEnd w:id="76"/>
    </w:p>
    <w:p>
      <w:pPr>
        <w:ind w:firstLine="560"/>
        <w:rPr>
          <w:rFonts w:ascii="Times New Roman" w:hAnsi="Times New Roman" w:cs="Times New Roman"/>
          <w:sz w:val="28"/>
          <w:szCs w:val="28"/>
        </w:rPr>
      </w:pPr>
      <w:r>
        <w:rPr>
          <w:rFonts w:ascii="Times New Roman" w:hAnsi="Times New Roman" w:cs="Times New Roman"/>
          <w:sz w:val="28"/>
          <w:szCs w:val="28"/>
        </w:rPr>
        <w:t>更加注重市场在资源配置中的决定性作用，通过进一步完善市场机制，矫正以前过多依靠行政配置资源带来的要素配置扭曲。针对本地汽车、机电、工艺品、食品饮料等传统优势产业，加大资本和龙头企业引入，强化资源整合和新商业模式打造，鼓励有创新意识的企业开发符合消费升级和产业升级的新产品新工艺，推动“强主链、延短链、谋新链”，积极拓展市场空间，实现工业发展向更优质量和更高效率的供需平衡跃升。充分发挥政府职能作用，优化劳动力、资本、土地、技术、数据等要素配置，补齐物流平台、园区配套等基础环节建设，解决好通过市场自身配置不能提供有效供给等问题，持续优化产业发展环境。</w:t>
      </w:r>
    </w:p>
    <w:p>
      <w:pPr>
        <w:keepNext/>
        <w:keepLines/>
        <w:spacing w:before="120" w:after="120" w:line="360" w:lineRule="auto"/>
        <w:jc w:val="left"/>
        <w:outlineLvl w:val="1"/>
        <w:rPr>
          <w:rFonts w:ascii="Times New Roman" w:hAnsi="Times New Roman" w:eastAsia="黑体" w:cs="Times New Roman"/>
          <w:b/>
          <w:bCs/>
          <w:sz w:val="32"/>
          <w:szCs w:val="32"/>
        </w:rPr>
      </w:pPr>
      <w:bookmarkStart w:id="77" w:name="_Toc91670019"/>
      <w:r>
        <w:rPr>
          <w:rFonts w:hint="eastAsia" w:ascii="Times New Roman" w:hAnsi="Times New Roman" w:eastAsia="黑体" w:cs="Times New Roman"/>
          <w:b/>
          <w:bCs/>
          <w:sz w:val="32"/>
          <w:szCs w:val="32"/>
        </w:rPr>
        <w:t>三、完善人才支撑体系</w:t>
      </w:r>
      <w:bookmarkEnd w:id="77"/>
    </w:p>
    <w:p>
      <w:pPr>
        <w:keepNext/>
        <w:keepLines/>
        <w:spacing w:before="120" w:after="120" w:line="360" w:lineRule="auto"/>
        <w:jc w:val="left"/>
        <w:outlineLvl w:val="2"/>
        <w:rPr>
          <w:rFonts w:ascii="Times New Roman" w:hAnsi="Times New Roman" w:cs="Times New Roman"/>
          <w:b/>
          <w:bCs/>
          <w:sz w:val="30"/>
          <w:szCs w:val="32"/>
        </w:rPr>
      </w:pPr>
      <w:bookmarkStart w:id="78" w:name="_Toc91670020"/>
      <w:r>
        <w:rPr>
          <w:rFonts w:hint="eastAsia" w:ascii="Times New Roman" w:hAnsi="Times New Roman" w:cs="Times New Roman"/>
          <w:b/>
          <w:bCs/>
          <w:sz w:val="30"/>
          <w:szCs w:val="32"/>
        </w:rPr>
        <w:t>（一）持续开展人才回乡行动</w:t>
      </w:r>
      <w:bookmarkEnd w:id="78"/>
    </w:p>
    <w:p>
      <w:pPr>
        <w:ind w:firstLine="560" w:firstLineChars="200"/>
        <w:rPr>
          <w:rFonts w:ascii="Times New Roman" w:hAnsi="Times New Roman" w:cs="Times New Roman"/>
          <w:sz w:val="28"/>
          <w:szCs w:val="28"/>
        </w:rPr>
      </w:pPr>
      <w:r>
        <w:rPr>
          <w:rFonts w:ascii="Times New Roman" w:hAnsi="Times New Roman" w:cs="Times New Roman"/>
          <w:sz w:val="28"/>
          <w:szCs w:val="28"/>
        </w:rPr>
        <w:t>积极开展能人回乡工程，实施能人回乡创业</w:t>
      </w:r>
      <w:r>
        <w:rPr>
          <w:rFonts w:hint="eastAsia" w:ascii="Times New Roman" w:hAnsi="Times New Roman" w:cs="Times New Roman"/>
          <w:sz w:val="28"/>
          <w:szCs w:val="28"/>
        </w:rPr>
        <w:t>“国家重大人才计划”</w:t>
      </w:r>
      <w:r>
        <w:rPr>
          <w:rFonts w:ascii="Times New Roman" w:hAnsi="Times New Roman" w:cs="Times New Roman"/>
          <w:sz w:val="28"/>
          <w:szCs w:val="28"/>
        </w:rPr>
        <w:t>，重点挖掘</w:t>
      </w:r>
      <w:r>
        <w:rPr>
          <w:rFonts w:hint="eastAsia" w:ascii="Times New Roman" w:hAnsi="Times New Roman" w:cs="Times New Roman"/>
          <w:sz w:val="28"/>
          <w:szCs w:val="28"/>
        </w:rPr>
        <w:t>闽侯校</w:t>
      </w:r>
      <w:r>
        <w:rPr>
          <w:rFonts w:ascii="Times New Roman" w:hAnsi="Times New Roman" w:cs="Times New Roman"/>
          <w:sz w:val="28"/>
          <w:szCs w:val="28"/>
        </w:rPr>
        <w:t>友、</w:t>
      </w:r>
      <w:r>
        <w:rPr>
          <w:rFonts w:hint="eastAsia" w:ascii="Times New Roman" w:hAnsi="Times New Roman" w:cs="Times New Roman"/>
          <w:sz w:val="28"/>
          <w:szCs w:val="28"/>
        </w:rPr>
        <w:t>闽</w:t>
      </w:r>
      <w:r>
        <w:rPr>
          <w:rFonts w:ascii="Times New Roman" w:hAnsi="Times New Roman" w:cs="Times New Roman"/>
          <w:sz w:val="28"/>
          <w:szCs w:val="28"/>
        </w:rPr>
        <w:t>商企业家资源。鼓励企业引进人才，对从省外引进中华技能大奖获得者、全国技术能手、省级技能大师的企业给予一次性奖励。做好专家服务，协助</w:t>
      </w:r>
      <w:r>
        <w:rPr>
          <w:rFonts w:hint="eastAsia" w:ascii="Times New Roman" w:hAnsi="Times New Roman" w:cs="Times New Roman"/>
          <w:sz w:val="28"/>
          <w:szCs w:val="28"/>
        </w:rPr>
        <w:t>打通</w:t>
      </w:r>
      <w:r>
        <w:rPr>
          <w:rFonts w:ascii="Times New Roman" w:hAnsi="Times New Roman" w:cs="Times New Roman"/>
          <w:sz w:val="28"/>
          <w:szCs w:val="28"/>
        </w:rPr>
        <w:t>来</w:t>
      </w:r>
      <w:r>
        <w:rPr>
          <w:rFonts w:hint="eastAsia" w:ascii="Times New Roman" w:hAnsi="Times New Roman" w:cs="Times New Roman"/>
          <w:sz w:val="28"/>
          <w:szCs w:val="28"/>
        </w:rPr>
        <w:t>闽专</w:t>
      </w:r>
      <w:r>
        <w:rPr>
          <w:rFonts w:ascii="Times New Roman" w:hAnsi="Times New Roman" w:cs="Times New Roman"/>
          <w:sz w:val="28"/>
          <w:szCs w:val="28"/>
        </w:rPr>
        <w:t>家在居留、签证、子女入学、社保、住房等方面的</w:t>
      </w:r>
      <w:r>
        <w:rPr>
          <w:rFonts w:hint="eastAsia" w:ascii="Times New Roman" w:hAnsi="Times New Roman" w:cs="Times New Roman"/>
          <w:sz w:val="28"/>
          <w:szCs w:val="28"/>
        </w:rPr>
        <w:t>绿色通道</w:t>
      </w:r>
      <w:r>
        <w:rPr>
          <w:rFonts w:ascii="Times New Roman" w:hAnsi="Times New Roman" w:cs="Times New Roman"/>
          <w:sz w:val="28"/>
          <w:szCs w:val="28"/>
        </w:rPr>
        <w:t>。</w:t>
      </w:r>
    </w:p>
    <w:p>
      <w:pPr>
        <w:keepNext/>
        <w:keepLines/>
        <w:spacing w:before="120" w:after="120" w:line="360" w:lineRule="auto"/>
        <w:jc w:val="left"/>
        <w:outlineLvl w:val="2"/>
        <w:rPr>
          <w:rFonts w:ascii="Times New Roman" w:hAnsi="Times New Roman" w:cs="Times New Roman"/>
          <w:b/>
          <w:bCs/>
          <w:sz w:val="30"/>
          <w:szCs w:val="32"/>
        </w:rPr>
      </w:pPr>
      <w:bookmarkStart w:id="79" w:name="_Toc91670021"/>
      <w:r>
        <w:rPr>
          <w:rFonts w:hint="eastAsia" w:ascii="Times New Roman" w:hAnsi="Times New Roman" w:cs="Times New Roman"/>
          <w:b/>
          <w:bCs/>
          <w:sz w:val="30"/>
          <w:szCs w:val="32"/>
        </w:rPr>
        <w:t>（二）大力开展技工教育</w:t>
      </w:r>
      <w:bookmarkEnd w:id="79"/>
    </w:p>
    <w:p>
      <w:pPr>
        <w:ind w:firstLine="560" w:firstLineChars="200"/>
        <w:rPr>
          <w:rFonts w:ascii="Times New Roman" w:hAnsi="Times New Roman" w:cs="Times New Roman"/>
          <w:sz w:val="28"/>
          <w:szCs w:val="28"/>
        </w:rPr>
      </w:pPr>
      <w:r>
        <w:rPr>
          <w:rFonts w:ascii="Times New Roman" w:hAnsi="Times New Roman" w:cs="Times New Roman"/>
          <w:sz w:val="28"/>
          <w:szCs w:val="28"/>
        </w:rPr>
        <w:t>实施闽侯</w:t>
      </w:r>
      <w:r>
        <w:rPr>
          <w:rFonts w:hint="eastAsia" w:ascii="Times New Roman" w:hAnsi="Times New Roman" w:cs="Times New Roman"/>
          <w:sz w:val="28"/>
          <w:szCs w:val="28"/>
        </w:rPr>
        <w:t>县</w:t>
      </w:r>
      <w:r>
        <w:rPr>
          <w:rFonts w:ascii="Times New Roman" w:hAnsi="Times New Roman" w:cs="Times New Roman"/>
          <w:sz w:val="28"/>
          <w:szCs w:val="28"/>
        </w:rPr>
        <w:t>技能人才振兴计划，开展职业技能提升行动，塑造工匠精神，支持闽侯职业中专学校等技工院校建设品牌专业和精品课程，鼓励院校与企业开展联合培养。支持企业结合岗位需要，组织开展岗前培训、在岗培训、脱产培训、技能比武等活动，提升劳动者技能水平。</w:t>
      </w:r>
      <w:r>
        <w:rPr>
          <w:rFonts w:hint="eastAsia" w:ascii="Times New Roman" w:hAnsi="Times New Roman" w:cs="Times New Roman"/>
          <w:sz w:val="28"/>
          <w:szCs w:val="28"/>
        </w:rPr>
        <w:t>积极</w:t>
      </w:r>
      <w:r>
        <w:rPr>
          <w:rFonts w:ascii="Times New Roman" w:hAnsi="Times New Roman" w:cs="Times New Roman"/>
          <w:sz w:val="28"/>
          <w:szCs w:val="28"/>
        </w:rPr>
        <w:t>探索技能人才培养、评价、激励</w:t>
      </w:r>
      <w:r>
        <w:rPr>
          <w:rFonts w:hint="eastAsia" w:ascii="Times New Roman" w:hAnsi="Times New Roman" w:cs="Times New Roman"/>
          <w:sz w:val="28"/>
          <w:szCs w:val="28"/>
        </w:rPr>
        <w:t>新</w:t>
      </w:r>
      <w:r>
        <w:rPr>
          <w:rFonts w:ascii="Times New Roman" w:hAnsi="Times New Roman" w:cs="Times New Roman"/>
          <w:sz w:val="28"/>
          <w:szCs w:val="28"/>
        </w:rPr>
        <w:t>模式。</w:t>
      </w:r>
    </w:p>
    <w:p>
      <w:pPr>
        <w:keepNext/>
        <w:keepLines/>
        <w:spacing w:before="120" w:after="120" w:line="360" w:lineRule="auto"/>
        <w:jc w:val="left"/>
        <w:outlineLvl w:val="1"/>
        <w:rPr>
          <w:rFonts w:ascii="Times New Roman" w:hAnsi="Times New Roman" w:eastAsia="黑体" w:cs="Times New Roman"/>
          <w:b/>
          <w:bCs/>
          <w:sz w:val="32"/>
          <w:szCs w:val="32"/>
        </w:rPr>
      </w:pPr>
      <w:bookmarkStart w:id="80" w:name="_Toc91670022"/>
      <w:r>
        <w:rPr>
          <w:rFonts w:ascii="Times New Roman" w:hAnsi="Times New Roman" w:eastAsia="黑体" w:cs="Times New Roman"/>
          <w:b/>
          <w:bCs/>
          <w:sz w:val="32"/>
          <w:szCs w:val="32"/>
        </w:rPr>
        <w:t>四、搭建资金保障体系</w:t>
      </w:r>
      <w:bookmarkEnd w:id="80"/>
    </w:p>
    <w:p>
      <w:pPr>
        <w:keepNext/>
        <w:keepLines/>
        <w:spacing w:before="120" w:after="120" w:line="360" w:lineRule="auto"/>
        <w:jc w:val="left"/>
        <w:outlineLvl w:val="2"/>
        <w:rPr>
          <w:rFonts w:ascii="Times New Roman" w:hAnsi="Times New Roman" w:cs="Times New Roman"/>
          <w:b/>
          <w:bCs/>
          <w:sz w:val="30"/>
          <w:szCs w:val="32"/>
        </w:rPr>
      </w:pPr>
      <w:bookmarkStart w:id="81" w:name="_Toc91670023"/>
      <w:r>
        <w:rPr>
          <w:rFonts w:ascii="Times New Roman" w:hAnsi="Times New Roman" w:cs="Times New Roman"/>
          <w:b/>
          <w:bCs/>
          <w:sz w:val="30"/>
          <w:szCs w:val="32"/>
        </w:rPr>
        <w:t>（一）积极发展产业引导基金</w:t>
      </w:r>
      <w:bookmarkEnd w:id="81"/>
    </w:p>
    <w:p>
      <w:pPr>
        <w:ind w:firstLine="560"/>
        <w:rPr>
          <w:rFonts w:ascii="Times New Roman" w:hAnsi="Times New Roman" w:cs="Times New Roman"/>
          <w:sz w:val="28"/>
          <w:szCs w:val="28"/>
        </w:rPr>
      </w:pPr>
      <w:r>
        <w:rPr>
          <w:rFonts w:ascii="Times New Roman" w:hAnsi="Times New Roman" w:cs="Times New Roman"/>
          <w:sz w:val="28"/>
          <w:szCs w:val="28"/>
        </w:rPr>
        <w:t>充分发挥福建省产业基金的引导带动作用，大力引进金融机构、社会资本、投资机构等各类金融资源投向新能源汽车、装备制造、生物医药、新能源新材料等重点产业和领域。组建闽侯县产业发展基金，引导产业基金投向符合闽侯县产业发展方向的种子期、起步期科技型、创新型中小企业。鼓励有条件的园区管委会设立园区级产业引导基金，充分放大政府财政资金的杠杆效应，撬动社会资本支持重点产业发展和转型升级。</w:t>
      </w:r>
    </w:p>
    <w:p>
      <w:pPr>
        <w:keepNext/>
        <w:keepLines/>
        <w:spacing w:before="120" w:after="120" w:line="360" w:lineRule="auto"/>
        <w:jc w:val="left"/>
        <w:outlineLvl w:val="2"/>
        <w:rPr>
          <w:rFonts w:ascii="Times New Roman" w:hAnsi="Times New Roman" w:cs="Times New Roman"/>
          <w:b/>
          <w:bCs/>
          <w:sz w:val="30"/>
          <w:szCs w:val="32"/>
        </w:rPr>
      </w:pPr>
      <w:bookmarkStart w:id="82" w:name="_Toc91670024"/>
      <w:r>
        <w:rPr>
          <w:rFonts w:ascii="Times New Roman" w:hAnsi="Times New Roman" w:cs="Times New Roman"/>
          <w:b/>
          <w:bCs/>
          <w:sz w:val="30"/>
          <w:szCs w:val="32"/>
        </w:rPr>
        <w:t>（二）大力发展多层次资本市场</w:t>
      </w:r>
      <w:bookmarkEnd w:id="82"/>
    </w:p>
    <w:p>
      <w:pPr>
        <w:ind w:firstLine="560"/>
        <w:rPr>
          <w:rFonts w:ascii="Times New Roman" w:hAnsi="Times New Roman" w:cs="Times New Roman"/>
          <w:sz w:val="28"/>
          <w:szCs w:val="28"/>
        </w:rPr>
      </w:pPr>
      <w:r>
        <w:rPr>
          <w:rFonts w:ascii="Times New Roman" w:hAnsi="Times New Roman" w:cs="Times New Roman"/>
          <w:sz w:val="28"/>
          <w:szCs w:val="28"/>
        </w:rPr>
        <w:t>鼓励企业上市、挂牌或发行资产证券化产品。支持重点产业重点企业主板上市，支持民营企业中小板上市，支持战略性新兴产业、科技创新型企业创业板上市，支持“专、精、特、新”企业到新三板和区域性股权市场融资；加强对已上市公司的培训和指导力度，提高其资本运作和再融资能力。积极发展债券市场，支持新能源汽车、装备制造、生物医药、新能源新材料等重点产业项目及产业园区通过发行债券募集资金；支持企业通过发行企业债、公司债、短期融资券、中期票据等产品进行融资，探索开发并购债、可转债、高收益债等债券品种。</w:t>
      </w:r>
    </w:p>
    <w:p>
      <w:pPr>
        <w:keepNext/>
        <w:keepLines/>
        <w:spacing w:before="120" w:after="120" w:line="360" w:lineRule="auto"/>
        <w:jc w:val="left"/>
        <w:outlineLvl w:val="2"/>
        <w:rPr>
          <w:rFonts w:ascii="Times New Roman" w:hAnsi="Times New Roman" w:cs="Times New Roman"/>
          <w:b/>
          <w:bCs/>
          <w:sz w:val="30"/>
          <w:szCs w:val="32"/>
        </w:rPr>
      </w:pPr>
      <w:bookmarkStart w:id="83" w:name="_Toc91670025"/>
      <w:r>
        <w:rPr>
          <w:rFonts w:ascii="Times New Roman" w:hAnsi="Times New Roman" w:cs="Times New Roman"/>
          <w:b/>
          <w:bCs/>
          <w:sz w:val="30"/>
          <w:szCs w:val="32"/>
        </w:rPr>
        <w:t>（三）加快创新金融服务方式</w:t>
      </w:r>
      <w:bookmarkEnd w:id="83"/>
    </w:p>
    <w:p>
      <w:pPr>
        <w:ind w:firstLine="560"/>
        <w:rPr>
          <w:rFonts w:ascii="Times New Roman" w:hAnsi="Times New Roman" w:cs="Times New Roman"/>
          <w:sz w:val="28"/>
          <w:szCs w:val="28"/>
        </w:rPr>
      </w:pPr>
      <w:r>
        <w:rPr>
          <w:rFonts w:ascii="Times New Roman" w:hAnsi="Times New Roman" w:cs="Times New Roman"/>
          <w:sz w:val="28"/>
          <w:szCs w:val="28"/>
        </w:rPr>
        <w:t>建立闽侯县企业金融信用信息基础数据库，推进金融领域与工业领域信用信息共享，完善企业信用体系建设，提高企业信用度以获得金融支持。引入互联网金融、股权投资等机构，为中小企业提供股权交易等专业化、特色化资本融资服务。鼓励发展金融外包服务和后台服务等配套产业，促进金融政策、财政政策和产业政策深度融合，加大金融服务对战略性新兴产业、生产性服务业、中小企业等的支撑和促进作用。</w:t>
      </w:r>
    </w:p>
    <w:p>
      <w:pPr>
        <w:keepNext/>
        <w:keepLines/>
        <w:spacing w:before="120" w:after="120" w:line="360" w:lineRule="auto"/>
        <w:jc w:val="left"/>
        <w:outlineLvl w:val="1"/>
        <w:rPr>
          <w:rFonts w:ascii="Times New Roman" w:hAnsi="Times New Roman" w:eastAsia="黑体" w:cs="Times New Roman"/>
          <w:b/>
          <w:bCs/>
          <w:sz w:val="32"/>
          <w:szCs w:val="32"/>
        </w:rPr>
      </w:pPr>
      <w:bookmarkStart w:id="84" w:name="_Toc91670026"/>
      <w:r>
        <w:rPr>
          <w:rFonts w:ascii="Times New Roman" w:hAnsi="Times New Roman" w:eastAsia="黑体" w:cs="Times New Roman"/>
          <w:b/>
          <w:bCs/>
          <w:sz w:val="32"/>
          <w:szCs w:val="32"/>
        </w:rPr>
        <w:t>五、加强产业品牌宣传</w:t>
      </w:r>
      <w:bookmarkEnd w:id="84"/>
    </w:p>
    <w:p>
      <w:pPr>
        <w:keepNext/>
        <w:keepLines/>
        <w:spacing w:before="120" w:after="120" w:line="360" w:lineRule="auto"/>
        <w:jc w:val="left"/>
        <w:outlineLvl w:val="2"/>
        <w:rPr>
          <w:rFonts w:ascii="Times New Roman" w:hAnsi="Times New Roman" w:cs="Times New Roman"/>
          <w:b/>
          <w:bCs/>
          <w:sz w:val="30"/>
          <w:szCs w:val="32"/>
        </w:rPr>
      </w:pPr>
      <w:bookmarkStart w:id="85" w:name="_Toc91670027"/>
      <w:r>
        <w:rPr>
          <w:rFonts w:ascii="Times New Roman" w:hAnsi="Times New Roman" w:cs="Times New Roman"/>
          <w:b/>
          <w:bCs/>
          <w:sz w:val="30"/>
          <w:szCs w:val="32"/>
        </w:rPr>
        <w:t>（一）打造闽侯工业品牌名片</w:t>
      </w:r>
      <w:bookmarkEnd w:id="85"/>
    </w:p>
    <w:p>
      <w:pPr>
        <w:ind w:firstLine="560"/>
        <w:rPr>
          <w:rFonts w:ascii="Times New Roman" w:hAnsi="Times New Roman" w:cs="Times New Roman"/>
          <w:sz w:val="28"/>
          <w:szCs w:val="28"/>
        </w:rPr>
      </w:pPr>
      <w:r>
        <w:rPr>
          <w:rFonts w:ascii="Times New Roman" w:hAnsi="Times New Roman" w:cs="Times New Roman"/>
          <w:sz w:val="28"/>
          <w:szCs w:val="28"/>
        </w:rPr>
        <w:t>将“转型升级”+“新工业”作为闽侯城市宣传的新抓手，充分挖掘闽侯县工业基础优势，加强国内外工业领域知名展会、高峰论坛、活动的官方合作和引入，强化闽侯创新创业成果宣传推介。设立工业和信息化系列活动，打造成为创业者展示项目、对接投资、获得融资的重要平台。积极对接省、市侨办，跟进、洽谈台资工业和信息化相关项目，争取一批具有自主知识产权、科技含量高的科技创新项目落户闽侯。鼓励企业、高校、科研院所开展创新创业、技术竞赛等活动，扩大闽侯县工业品牌影响力。</w:t>
      </w:r>
    </w:p>
    <w:p>
      <w:pPr>
        <w:keepNext/>
        <w:keepLines/>
        <w:spacing w:before="120" w:after="120" w:line="360" w:lineRule="auto"/>
        <w:jc w:val="left"/>
        <w:outlineLvl w:val="2"/>
        <w:rPr>
          <w:rFonts w:ascii="Times New Roman" w:hAnsi="Times New Roman" w:cs="Times New Roman"/>
          <w:b/>
          <w:bCs/>
          <w:sz w:val="30"/>
          <w:szCs w:val="32"/>
        </w:rPr>
      </w:pPr>
      <w:bookmarkStart w:id="86" w:name="_Toc91670028"/>
      <w:r>
        <w:rPr>
          <w:rFonts w:ascii="Times New Roman" w:hAnsi="Times New Roman" w:cs="Times New Roman"/>
          <w:b/>
          <w:bCs/>
          <w:sz w:val="30"/>
          <w:szCs w:val="32"/>
        </w:rPr>
        <w:t>（二）建设多元立体化宣传体系</w:t>
      </w:r>
      <w:bookmarkEnd w:id="86"/>
    </w:p>
    <w:p>
      <w:pPr>
        <w:ind w:firstLine="560"/>
        <w:rPr>
          <w:rFonts w:ascii="Times New Roman" w:hAnsi="Times New Roman" w:eastAsia="宋体" w:cs="Times New Roman"/>
          <w:szCs w:val="24"/>
        </w:rPr>
      </w:pPr>
      <w:r>
        <w:rPr>
          <w:rFonts w:ascii="Times New Roman" w:hAnsi="Times New Roman" w:cs="Times New Roman"/>
          <w:sz w:val="28"/>
          <w:szCs w:val="28"/>
        </w:rPr>
        <w:t>积极借助传统媒体与新兴媒体的渠道优势，充分利用微博、微信、今日头条、抖音等新媒体平台，加强与知名报刊、杂志、广播电视台的合作，通过报道、广告、纪录片等形式，宣传推介闽侯工业和信息化发展成果，推广闽侯在创新产品与应用等方面的有益尝试和成功经验，提升闽侯工业领域的品牌形象和行业地位。建设闽侯工业和信息化发展专题网站，加强网站内容功能建设，重点突出“招商引资项目库”“产业发展优惠政策库”“产品和企业名录库”，优化网站版面设计，不断提高网站亲和力和流量转化率，吸引更多资本在闽侯落地。</w:t>
      </w:r>
    </w:p>
    <w:p>
      <w:pPr>
        <w:keepNext/>
        <w:keepLines/>
        <w:spacing w:before="120" w:after="120" w:line="360" w:lineRule="auto"/>
        <w:jc w:val="left"/>
        <w:outlineLvl w:val="1"/>
        <w:rPr>
          <w:rFonts w:ascii="Times New Roman" w:hAnsi="Times New Roman" w:eastAsia="黑体" w:cs="Times New Roman"/>
          <w:b/>
          <w:bCs/>
          <w:sz w:val="32"/>
          <w:szCs w:val="32"/>
        </w:rPr>
      </w:pPr>
      <w:bookmarkStart w:id="87" w:name="_Toc91670029"/>
      <w:r>
        <w:rPr>
          <w:rFonts w:ascii="Times New Roman" w:hAnsi="Times New Roman" w:eastAsia="黑体" w:cs="Times New Roman"/>
          <w:b/>
          <w:bCs/>
          <w:sz w:val="32"/>
          <w:szCs w:val="32"/>
        </w:rPr>
        <w:t>六、完善落实扶持政策</w:t>
      </w:r>
      <w:bookmarkEnd w:id="87"/>
    </w:p>
    <w:p>
      <w:pPr>
        <w:keepNext/>
        <w:keepLines/>
        <w:spacing w:before="120" w:after="120" w:line="360" w:lineRule="auto"/>
        <w:jc w:val="left"/>
        <w:outlineLvl w:val="2"/>
        <w:rPr>
          <w:rFonts w:ascii="Times New Roman" w:hAnsi="Times New Roman" w:cs="Times New Roman"/>
          <w:b/>
          <w:bCs/>
          <w:sz w:val="30"/>
          <w:szCs w:val="32"/>
        </w:rPr>
      </w:pPr>
      <w:bookmarkStart w:id="88" w:name="_Toc91670030"/>
      <w:r>
        <w:rPr>
          <w:rFonts w:ascii="Times New Roman" w:hAnsi="Times New Roman" w:cs="Times New Roman"/>
          <w:b/>
          <w:bCs/>
          <w:sz w:val="30"/>
          <w:szCs w:val="32"/>
        </w:rPr>
        <w:t>（一）用好用足扶持政策</w:t>
      </w:r>
      <w:bookmarkEnd w:id="88"/>
    </w:p>
    <w:p>
      <w:pPr>
        <w:ind w:firstLine="560"/>
        <w:rPr>
          <w:rFonts w:ascii="Times New Roman" w:hAnsi="Times New Roman" w:cs="Times New Roman"/>
          <w:sz w:val="28"/>
          <w:szCs w:val="28"/>
        </w:rPr>
      </w:pPr>
      <w:r>
        <w:rPr>
          <w:rFonts w:ascii="Times New Roman" w:hAnsi="Times New Roman" w:cs="Times New Roman"/>
          <w:sz w:val="28"/>
          <w:szCs w:val="28"/>
        </w:rPr>
        <w:t>积极适应经济工作新常态，多方争取和用好用足用活国家、福建省工业发展的各项政策，发挥政策的引导和支持作用。积极争取国家和福建省的各类专项资金支持，抓好重点项目引进和建设，培育新的经济增长点。积极承接优势地区的产业转移，做好政策招商，吸引龙头企业、台资企业、优势企业进驻。完善政策措施，适当降低或取消门槛，精简程序，透明操作，加强监督；同时制定操作指引，加大培训和指导，协助企业完善高新技术企业认定、税收减免等的申请认定。</w:t>
      </w:r>
    </w:p>
    <w:p>
      <w:pPr>
        <w:keepNext/>
        <w:keepLines/>
        <w:spacing w:before="120" w:after="120" w:line="360" w:lineRule="auto"/>
        <w:jc w:val="left"/>
        <w:outlineLvl w:val="2"/>
        <w:rPr>
          <w:rFonts w:ascii="Times New Roman" w:hAnsi="Times New Roman" w:cs="Times New Roman"/>
          <w:b/>
          <w:bCs/>
          <w:sz w:val="30"/>
          <w:szCs w:val="32"/>
        </w:rPr>
      </w:pPr>
      <w:bookmarkStart w:id="89" w:name="_Toc91670031"/>
      <w:r>
        <w:rPr>
          <w:rFonts w:ascii="Times New Roman" w:hAnsi="Times New Roman" w:cs="Times New Roman"/>
          <w:b/>
          <w:bCs/>
          <w:sz w:val="30"/>
          <w:szCs w:val="32"/>
        </w:rPr>
        <w:t>（二）制定完善专项政策</w:t>
      </w:r>
      <w:bookmarkEnd w:id="89"/>
    </w:p>
    <w:p>
      <w:pPr>
        <w:ind w:firstLine="560"/>
        <w:rPr>
          <w:rFonts w:ascii="Times New Roman" w:hAnsi="Times New Roman" w:cs="Times New Roman"/>
          <w:sz w:val="28"/>
          <w:szCs w:val="28"/>
        </w:rPr>
      </w:pPr>
      <w:r>
        <w:rPr>
          <w:rFonts w:ascii="Times New Roman" w:hAnsi="Times New Roman" w:cs="Times New Roman"/>
          <w:sz w:val="28"/>
          <w:szCs w:val="28"/>
        </w:rPr>
        <w:t>研究制定重点产业、战略性新兴产业、生产性服务业等关键产业、关键技术的发展规划和行动方案，出台推进汽车、装备制造、工艺品等行业的扶持政策，加快重点产业结构调整。研究制定出台产业融合政策，促进工业化和信息化以及制造业与服务业的深度融合。加大对中小企业的扶持力度，在简政放权、财税优惠、融资支持、化解产能过剩、加大专项基金支持等方面落实完善一系列新政策。出台支持“双创”活动的专项政策，在品牌建设、节能降耗、发展循环经济等方面落地鼓励政策。</w:t>
      </w:r>
    </w:p>
    <w:p>
      <w:pPr>
        <w:widowControl/>
        <w:jc w:val="left"/>
        <w:rPr>
          <w:rFonts w:ascii="Times New Roman" w:hAnsi="Times New Roman" w:cs="Times New Roman"/>
          <w:sz w:val="28"/>
          <w:szCs w:val="28"/>
        </w:rPr>
      </w:pPr>
      <w:r>
        <w:rPr>
          <w:rFonts w:ascii="Times New Roman" w:hAnsi="Times New Roman" w:cs="Times New Roman"/>
          <w:sz w:val="28"/>
          <w:szCs w:val="28"/>
        </w:rPr>
        <w:br w:type="page"/>
      </w:r>
    </w:p>
    <w:p>
      <w:pPr>
        <w:rPr>
          <w:rFonts w:hint="eastAsia" w:ascii="Times New Roman" w:hAnsi="Times New Roman" w:cs="Times New Roman"/>
          <w:sz w:val="28"/>
          <w:szCs w:val="28"/>
        </w:rPr>
        <w:sectPr>
          <w:headerReference r:id="rId5" w:type="first"/>
          <w:footerReference r:id="rId7" w:type="first"/>
          <w:footerReference r:id="rId6" w:type="default"/>
          <w:pgSz w:w="11906" w:h="16838"/>
          <w:pgMar w:top="1440" w:right="1800" w:bottom="1440" w:left="1800" w:header="851" w:footer="850" w:gutter="0"/>
          <w:pgNumType w:start="1"/>
          <w:cols w:space="425" w:num="1"/>
          <w:titlePg/>
          <w:docGrid w:type="lines" w:linePitch="312" w:charSpace="0"/>
        </w:sectPr>
      </w:pPr>
    </w:p>
    <w:p>
      <w:pPr>
        <w:keepNext/>
        <w:keepLines/>
        <w:spacing w:before="120" w:after="120" w:line="578" w:lineRule="auto"/>
        <w:jc w:val="center"/>
        <w:outlineLvl w:val="0"/>
        <w:rPr>
          <w:rFonts w:ascii="Times New Roman" w:hAnsi="Times New Roman" w:eastAsia="黑体" w:cs="Times New Roman"/>
          <w:b/>
          <w:bCs/>
          <w:kern w:val="44"/>
          <w:sz w:val="36"/>
          <w:szCs w:val="44"/>
        </w:rPr>
      </w:pPr>
      <w:bookmarkStart w:id="90" w:name="_Toc91670032"/>
      <w:r>
        <w:rPr>
          <w:rFonts w:ascii="Times New Roman" w:hAnsi="Times New Roman" w:eastAsia="黑体" w:cs="Times New Roman"/>
          <w:b/>
          <w:bCs/>
          <w:kern w:val="44"/>
          <w:sz w:val="36"/>
          <w:szCs w:val="44"/>
        </w:rPr>
        <w:t>附件</w:t>
      </w:r>
      <w:r>
        <w:rPr>
          <w:rFonts w:hint="eastAsia" w:ascii="Times New Roman" w:hAnsi="Times New Roman" w:eastAsia="黑体" w:cs="Times New Roman"/>
          <w:b/>
          <w:bCs/>
          <w:kern w:val="44"/>
          <w:sz w:val="36"/>
          <w:szCs w:val="44"/>
        </w:rPr>
        <w:t xml:space="preserve"> 闽侯县“十四五”期间工业和信息化领域</w:t>
      </w:r>
      <w:r>
        <w:rPr>
          <w:rFonts w:ascii="Times New Roman" w:hAnsi="Times New Roman" w:eastAsia="黑体" w:cs="Times New Roman"/>
          <w:b/>
          <w:bCs/>
          <w:kern w:val="44"/>
          <w:sz w:val="36"/>
          <w:szCs w:val="44"/>
        </w:rPr>
        <w:t>重点项目清单（按时间降序）</w:t>
      </w:r>
      <w:bookmarkEnd w:id="90"/>
    </w:p>
    <w:tbl>
      <w:tblPr>
        <w:tblStyle w:val="26"/>
        <w:tblW w:w="12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8"/>
        <w:gridCol w:w="2892"/>
        <w:gridCol w:w="5125"/>
        <w:gridCol w:w="1701"/>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38" w:type="dxa"/>
            <w:shd w:val="clear" w:color="auto" w:fill="DEEAF6" w:themeFill="accent1" w:themeFillTint="33"/>
            <w:vAlign w:val="center"/>
          </w:tcPr>
          <w:p>
            <w:pPr>
              <w:jc w:val="center"/>
              <w:rPr>
                <w:rFonts w:ascii="Times New Roman" w:hAnsi="Times New Roman" w:cs="Times New Roman"/>
                <w:b/>
                <w:sz w:val="24"/>
                <w:szCs w:val="28"/>
              </w:rPr>
            </w:pPr>
            <w:r>
              <w:rPr>
                <w:rFonts w:hint="eastAsia" w:ascii="Times New Roman" w:hAnsi="Times New Roman" w:cs="Times New Roman"/>
                <w:b/>
                <w:sz w:val="24"/>
                <w:szCs w:val="28"/>
              </w:rPr>
              <w:t>序号</w:t>
            </w:r>
          </w:p>
        </w:tc>
        <w:tc>
          <w:tcPr>
            <w:tcW w:w="2892" w:type="dxa"/>
            <w:shd w:val="clear" w:color="auto" w:fill="DEEAF6" w:themeFill="accent1" w:themeFillTint="33"/>
            <w:vAlign w:val="center"/>
          </w:tcPr>
          <w:p>
            <w:pPr>
              <w:jc w:val="center"/>
              <w:rPr>
                <w:rFonts w:ascii="Times New Roman" w:hAnsi="Times New Roman" w:cs="Times New Roman"/>
                <w:b/>
                <w:sz w:val="24"/>
                <w:szCs w:val="28"/>
              </w:rPr>
            </w:pPr>
            <w:r>
              <w:rPr>
                <w:rFonts w:hint="eastAsia" w:ascii="Times New Roman" w:hAnsi="Times New Roman" w:cs="Times New Roman"/>
                <w:b/>
                <w:sz w:val="24"/>
                <w:szCs w:val="28"/>
              </w:rPr>
              <w:t>项目名称</w:t>
            </w:r>
          </w:p>
        </w:tc>
        <w:tc>
          <w:tcPr>
            <w:tcW w:w="5125" w:type="dxa"/>
            <w:shd w:val="clear" w:color="auto" w:fill="DEEAF6" w:themeFill="accent1" w:themeFillTint="33"/>
            <w:vAlign w:val="center"/>
          </w:tcPr>
          <w:p>
            <w:pPr>
              <w:jc w:val="center"/>
              <w:rPr>
                <w:rFonts w:ascii="Times New Roman" w:hAnsi="Times New Roman" w:cs="Times New Roman"/>
                <w:b/>
                <w:sz w:val="24"/>
                <w:szCs w:val="28"/>
              </w:rPr>
            </w:pPr>
            <w:r>
              <w:rPr>
                <w:rFonts w:hint="eastAsia" w:ascii="Times New Roman" w:hAnsi="Times New Roman" w:cs="Times New Roman"/>
                <w:b/>
                <w:sz w:val="24"/>
                <w:szCs w:val="28"/>
              </w:rPr>
              <w:t>项目内容</w:t>
            </w:r>
          </w:p>
        </w:tc>
        <w:tc>
          <w:tcPr>
            <w:tcW w:w="1701" w:type="dxa"/>
            <w:shd w:val="clear" w:color="auto" w:fill="DEEAF6" w:themeFill="accent1" w:themeFillTint="33"/>
            <w:vAlign w:val="center"/>
          </w:tcPr>
          <w:p>
            <w:pPr>
              <w:jc w:val="center"/>
              <w:rPr>
                <w:rFonts w:ascii="Times New Roman" w:hAnsi="Times New Roman" w:cs="Times New Roman"/>
                <w:b/>
                <w:sz w:val="24"/>
                <w:szCs w:val="28"/>
              </w:rPr>
            </w:pPr>
            <w:r>
              <w:rPr>
                <w:rFonts w:hint="eastAsia" w:ascii="Times New Roman" w:hAnsi="Times New Roman" w:cs="Times New Roman"/>
                <w:b/>
                <w:sz w:val="24"/>
                <w:szCs w:val="28"/>
              </w:rPr>
              <w:t>预计总投资（万元）</w:t>
            </w:r>
          </w:p>
        </w:tc>
        <w:tc>
          <w:tcPr>
            <w:tcW w:w="1928" w:type="dxa"/>
            <w:shd w:val="clear" w:color="auto" w:fill="DEEAF6" w:themeFill="accent1" w:themeFillTint="33"/>
            <w:vAlign w:val="center"/>
          </w:tcPr>
          <w:p>
            <w:pPr>
              <w:jc w:val="center"/>
              <w:rPr>
                <w:rFonts w:ascii="Times New Roman" w:hAnsi="Times New Roman" w:cs="Times New Roman"/>
                <w:b/>
                <w:sz w:val="24"/>
                <w:szCs w:val="28"/>
              </w:rPr>
            </w:pPr>
            <w:r>
              <w:rPr>
                <w:rFonts w:hint="eastAsia" w:ascii="Times New Roman" w:hAnsi="Times New Roman" w:cs="Times New Roman"/>
                <w:b/>
                <w:sz w:val="24"/>
                <w:szCs w:val="28"/>
              </w:rPr>
              <w:t>计划开工时间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hint="eastAsia" w:ascii="Times New Roman" w:hAnsi="Times New Roman" w:cs="Times New Roman"/>
                <w:szCs w:val="21"/>
              </w:rPr>
            </w:pPr>
            <w:r>
              <w:rPr>
                <w:rFonts w:hint="eastAsia" w:ascii="Times New Roman" w:hAnsi="Times New Roman" w:cs="Times New Roman"/>
                <w:szCs w:val="21"/>
              </w:rPr>
              <w:t>1</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通益汽配项目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拟征用龙醒村30亩土地,用于生产排气管、新能源车用电池外壳等。</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10</w:t>
            </w:r>
            <w:r>
              <w:rPr>
                <w:rFonts w:ascii="Times New Roman" w:hAnsi="Times New Roman" w:cs="Times New Roman"/>
                <w:szCs w:val="28"/>
              </w:rPr>
              <w:t>000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hint="eastAsia" w:ascii="Times New Roman" w:hAnsi="Times New Roman" w:cs="Times New Roman"/>
                <w:szCs w:val="21"/>
              </w:rPr>
            </w:pPr>
            <w:r>
              <w:rPr>
                <w:rFonts w:hint="eastAsia" w:ascii="Times New Roman" w:hAnsi="Times New Roman" w:cs="Times New Roman"/>
                <w:szCs w:val="21"/>
              </w:rPr>
              <w:t>2</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福州铨达汽配生产项目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主要建设汽车零配件生产厂房及其附属设施</w:t>
            </w:r>
            <w:r>
              <w:rPr>
                <w:rFonts w:ascii="Times New Roman" w:hAnsi="Times New Roman" w:cs="Times New Roman"/>
                <w:sz w:val="18"/>
                <w:szCs w:val="28"/>
              </w:rPr>
              <w:t>,总建筑面积约7万平方米,年产汽车零部件10万套。</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3</w:t>
            </w:r>
            <w:r>
              <w:rPr>
                <w:rFonts w:ascii="Times New Roman" w:hAnsi="Times New Roman" w:cs="Times New Roman"/>
                <w:szCs w:val="28"/>
              </w:rPr>
              <w:t>0500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w:t>
            </w:r>
            <w:r>
              <w:rPr>
                <w:rFonts w:ascii="Times New Roman" w:hAnsi="Times New Roman" w:cs="Times New Roman"/>
                <w:szCs w:val="28"/>
              </w:rPr>
              <w:t>02</w:t>
            </w:r>
            <w:r>
              <w:rPr>
                <w:rFonts w:hint="eastAsia" w:ascii="Times New Roman" w:hAnsi="Times New Roman" w:cs="Times New Roman"/>
                <w:szCs w:val="28"/>
              </w:rPr>
              <w:t>2</w:t>
            </w:r>
            <w:r>
              <w:rPr>
                <w:rFonts w:ascii="Times New Roman" w:hAnsi="Times New Roman" w:cs="Times New Roman"/>
                <w:szCs w:val="28"/>
              </w:rPr>
              <w:t>年</w:t>
            </w:r>
            <w:r>
              <w:rPr>
                <w:rFonts w:hint="eastAsia" w:ascii="Times New Roman" w:hAnsi="Times New Roman" w:cs="Times New Roman"/>
                <w:szCs w:val="28"/>
              </w:rPr>
              <w:t>1</w:t>
            </w:r>
            <w:r>
              <w:rPr>
                <w:rFonts w:ascii="Times New Roman" w:hAnsi="Times New Roman" w:cs="Times New Roman"/>
                <w:szCs w:val="28"/>
              </w:rPr>
              <w:t>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hint="eastAsia" w:ascii="Times New Roman" w:hAnsi="Times New Roman" w:cs="Times New Roman"/>
                <w:szCs w:val="21"/>
              </w:rPr>
            </w:pPr>
            <w:r>
              <w:rPr>
                <w:rFonts w:ascii="Times New Roman" w:hAnsi="Times New Roman" w:cs="Times New Roman"/>
                <w:szCs w:val="21"/>
              </w:rPr>
              <w:t>3</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福建建工亚鹰建筑多媒体幕墙、智能门窗、装配式钢结构生产基地一期</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规划用地</w:t>
            </w:r>
            <w:r>
              <w:rPr>
                <w:rFonts w:ascii="Times New Roman" w:hAnsi="Times New Roman" w:cs="Times New Roman"/>
                <w:sz w:val="18"/>
                <w:szCs w:val="28"/>
              </w:rPr>
              <w:t>180亩,建筑面积190114平方米,主要建设多媒体幕墙、智能门窗、装配式钢结构生产基地及其配套设施。</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56</w:t>
            </w:r>
            <w:r>
              <w:rPr>
                <w:rFonts w:ascii="Times New Roman" w:hAnsi="Times New Roman" w:cs="Times New Roman"/>
                <w:szCs w:val="28"/>
              </w:rPr>
              <w:t>000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w:t>
            </w:r>
            <w:r>
              <w:rPr>
                <w:rFonts w:ascii="Times New Roman" w:hAnsi="Times New Roman" w:cs="Times New Roman"/>
                <w:szCs w:val="28"/>
              </w:rPr>
              <w:t>02</w:t>
            </w:r>
            <w:r>
              <w:rPr>
                <w:rFonts w:hint="eastAsia" w:ascii="Times New Roman" w:hAnsi="Times New Roman" w:cs="Times New Roman"/>
                <w:szCs w:val="28"/>
              </w:rPr>
              <w:t>2</w:t>
            </w:r>
            <w:r>
              <w:rPr>
                <w:rFonts w:ascii="Times New Roman" w:hAnsi="Times New Roman" w:cs="Times New Roman"/>
                <w:szCs w:val="28"/>
              </w:rPr>
              <w:t>年</w:t>
            </w:r>
            <w:r>
              <w:rPr>
                <w:rFonts w:hint="eastAsia" w:ascii="Times New Roman" w:hAnsi="Times New Roman" w:cs="Times New Roman"/>
                <w:szCs w:val="28"/>
              </w:rPr>
              <w:t>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hint="eastAsia" w:ascii="Times New Roman" w:hAnsi="Times New Roman" w:cs="Times New Roman"/>
                <w:szCs w:val="21"/>
              </w:rPr>
            </w:pPr>
            <w:r>
              <w:rPr>
                <w:rFonts w:hint="eastAsia" w:ascii="Times New Roman" w:hAnsi="Times New Roman" w:cs="Times New Roman"/>
                <w:szCs w:val="21"/>
              </w:rPr>
              <w:t>4</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均和云谷</w:t>
            </w:r>
            <w:r>
              <w:rPr>
                <w:rFonts w:hint="eastAsia" w:ascii="仿宋_GB2312" w:hAnsi="仿宋_GB2312" w:eastAsia="仿宋_GB2312" w:cs="仿宋_GB2312"/>
                <w:sz w:val="24"/>
                <w:szCs w:val="28"/>
              </w:rPr>
              <w:t>·</w:t>
            </w:r>
            <w:r>
              <w:rPr>
                <w:rFonts w:hint="eastAsia" w:ascii="Times New Roman" w:hAnsi="Times New Roman" w:cs="Times New Roman"/>
                <w:sz w:val="24"/>
                <w:szCs w:val="28"/>
              </w:rPr>
              <w:t>东南科创基地B区</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项目位于上街镇侯直村，占地面积约74232平方米，建筑面积的86485.2平方米，建设集智能制造产业聚集区、现代服务产业集聚区、创智人才工作生活区为一体的东南科创基地B区。项目预计投产后五年内，年纳税达到1亿元（未来逐年增长），引进优质企业100-200家，有效促进区域中小企业加速升级，导入知名专家学者和企业总部，预计可解决3000-5000人就业。</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125280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20</w:t>
            </w:r>
            <w:r>
              <w:rPr>
                <w:rFonts w:ascii="Times New Roman" w:hAnsi="Times New Roman" w:cs="Times New Roman"/>
                <w:szCs w:val="28"/>
              </w:rPr>
              <w:t>2</w:t>
            </w:r>
            <w:r>
              <w:rPr>
                <w:rFonts w:hint="eastAsia" w:ascii="Times New Roman" w:hAnsi="Times New Roman" w:cs="Times New Roman"/>
                <w:szCs w:val="28"/>
              </w:rPr>
              <w:t>2</w:t>
            </w:r>
            <w:r>
              <w:rPr>
                <w:rFonts w:ascii="Times New Roman" w:hAnsi="Times New Roman" w:cs="Times New Roman"/>
                <w:szCs w:val="28"/>
              </w:rPr>
              <w:t>年</w:t>
            </w:r>
            <w:r>
              <w:rPr>
                <w:rFonts w:hint="eastAsia" w:ascii="Times New Roman" w:hAnsi="Times New Roman" w:cs="Times New Roman"/>
                <w:szCs w:val="28"/>
              </w:rPr>
              <w:t>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hint="eastAsia" w:ascii="Times New Roman" w:hAnsi="Times New Roman" w:cs="Times New Roman"/>
                <w:szCs w:val="21"/>
              </w:rPr>
            </w:pPr>
            <w:r>
              <w:rPr>
                <w:rFonts w:hint="eastAsia" w:ascii="Times New Roman" w:hAnsi="Times New Roman" w:cs="Times New Roman"/>
                <w:szCs w:val="21"/>
              </w:rPr>
              <w:t>5</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福州鑫铭森智能制造总部基地项目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项目规划用地面积20.5亩，总建筑面积约17544平方米。建设研发生产制造基地及办公用房配套设施，用于RV减速机、机器人零部件及工业视觉系统、机器人控制系统等研发、生产。</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100000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hint="eastAsia" w:ascii="Times New Roman" w:hAnsi="Times New Roman" w:cs="Times New Roman"/>
                <w:szCs w:val="21"/>
              </w:rPr>
            </w:pPr>
            <w:r>
              <w:rPr>
                <w:rFonts w:hint="eastAsia" w:ascii="Times New Roman" w:hAnsi="Times New Roman" w:cs="Times New Roman"/>
                <w:szCs w:val="21"/>
              </w:rPr>
              <w:t>6</w:t>
            </w:r>
          </w:p>
        </w:tc>
        <w:tc>
          <w:tcPr>
            <w:tcW w:w="2892" w:type="dxa"/>
            <w:vAlign w:val="center"/>
          </w:tcPr>
          <w:p>
            <w:pPr>
              <w:widowControl/>
              <w:jc w:val="center"/>
              <w:textAlignment w:val="center"/>
              <w:rPr>
                <w:rFonts w:ascii="Times New Roman" w:hAnsi="Times New Roman" w:cs="Times New Roman"/>
                <w:sz w:val="24"/>
                <w:szCs w:val="28"/>
              </w:rPr>
            </w:pPr>
            <w:r>
              <w:rPr>
                <w:rFonts w:hint="eastAsia" w:ascii="Times New Roman" w:hAnsi="Times New Roman" w:cs="Times New Roman"/>
                <w:sz w:val="24"/>
                <w:szCs w:val="28"/>
              </w:rPr>
              <w:t>福州艺隆工艺品厂房建设项目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项目计划用地面积20亩（13334平方米），建筑总面积20000平方米，其中生产厂房建筑面积18000平方米，配套办公综合楼及展厅等2000平方米，并配套建设厂区道路、停车场、给排水、环保、绿化工程等内容。</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20000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2022年6月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hint="eastAsia" w:ascii="Times New Roman" w:hAnsi="Times New Roman" w:cs="Times New Roman"/>
                <w:szCs w:val="21"/>
              </w:rPr>
            </w:pPr>
            <w:r>
              <w:rPr>
                <w:rFonts w:hint="eastAsia" w:ascii="Times New Roman" w:hAnsi="Times New Roman" w:cs="Times New Roman"/>
                <w:szCs w:val="21"/>
              </w:rPr>
              <w:t>7</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均和云谷</w:t>
            </w:r>
            <w:r>
              <w:rPr>
                <w:rFonts w:hint="eastAsia" w:ascii="仿宋_GB2312" w:hAnsi="仿宋_GB2312" w:eastAsia="仿宋_GB2312" w:cs="仿宋_GB2312"/>
                <w:sz w:val="24"/>
                <w:szCs w:val="28"/>
              </w:rPr>
              <w:t>·</w:t>
            </w:r>
            <w:r>
              <w:rPr>
                <w:rFonts w:hint="eastAsia" w:ascii="Times New Roman" w:hAnsi="Times New Roman" w:cs="Times New Roman"/>
                <w:sz w:val="24"/>
                <w:szCs w:val="28"/>
              </w:rPr>
              <w:t>东南科创基地A区</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项目位于上街镇侯官村，占地面积约71354平方米，建筑面积约84112.75平方米，建设集智能制造产业聚集区、现代服务产业集聚区、创智人才工作生活区为一体的东南科创基地A区。项目预计投产后五年内，年纳税达到1.5-2 亿元（未来逐年增长），引进优质企业200-300家，有效促进区域中小企业加速升级，导入知名专家学者和企业总部，预计可解决3000-5000人就业。</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127720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2022</w:t>
            </w:r>
            <w:r>
              <w:rPr>
                <w:rFonts w:ascii="Times New Roman" w:hAnsi="Times New Roman" w:cs="Times New Roman"/>
                <w:szCs w:val="28"/>
              </w:rPr>
              <w:t>年</w:t>
            </w:r>
            <w:r>
              <w:rPr>
                <w:rFonts w:hint="eastAsia" w:ascii="Times New Roman" w:hAnsi="Times New Roman" w:cs="Times New Roman"/>
                <w:szCs w:val="28"/>
              </w:rPr>
              <w:t>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hint="eastAsia" w:ascii="Times New Roman" w:hAnsi="Times New Roman" w:cs="Times New Roman"/>
                <w:szCs w:val="21"/>
              </w:rPr>
            </w:pPr>
            <w:r>
              <w:rPr>
                <w:rFonts w:hint="eastAsia" w:ascii="Times New Roman" w:hAnsi="Times New Roman" w:cs="Times New Roman"/>
                <w:szCs w:val="21"/>
              </w:rPr>
              <w:t>8</w:t>
            </w:r>
          </w:p>
        </w:tc>
        <w:tc>
          <w:tcPr>
            <w:tcW w:w="2892" w:type="dxa"/>
            <w:vAlign w:val="center"/>
          </w:tcPr>
          <w:p>
            <w:pPr>
              <w:widowControl/>
              <w:jc w:val="center"/>
              <w:textAlignment w:val="center"/>
              <w:rPr>
                <w:rFonts w:ascii="Times New Roman" w:hAnsi="Times New Roman" w:cs="Times New Roman"/>
                <w:sz w:val="24"/>
                <w:szCs w:val="28"/>
              </w:rPr>
            </w:pPr>
            <w:r>
              <w:rPr>
                <w:rFonts w:hint="eastAsia" w:ascii="仿宋_GB2312" w:hAnsi="Arial" w:eastAsia="仿宋_GB2312" w:cs="仿宋_GB2312"/>
                <w:color w:val="000000"/>
                <w:kern w:val="0"/>
                <w:sz w:val="24"/>
                <w:szCs w:val="20"/>
                <w:lang w:bidi="ar"/>
              </w:rPr>
              <w:t>上华智能消防安防物联网产业园项目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项目用地面积3300m²，总建筑面积35200m，主要建设厂房及配套设施用于生产智能安防设备</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20000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2022年5月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hint="eastAsia" w:ascii="Times New Roman" w:hAnsi="Times New Roman" w:cs="Times New Roman"/>
                <w:szCs w:val="21"/>
              </w:rPr>
            </w:pPr>
            <w:r>
              <w:rPr>
                <w:rFonts w:hint="eastAsia" w:ascii="Times New Roman" w:hAnsi="Times New Roman" w:cs="Times New Roman"/>
                <w:szCs w:val="21"/>
              </w:rPr>
              <w:t>9</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福建兴澳诚实业有限公司（二期）项目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规划用地20亩，购置全自动玻璃切割机、磨边机、钢化炉、夹层、中空玻璃生产线等主要设备，采用先进的生产工艺技术生产汽车玻璃、特种玻璃等，建3条生产线。建成后新增产能100万件玻璃制品。</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21000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2022年4月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hint="eastAsia" w:ascii="Times New Roman" w:hAnsi="Times New Roman" w:cs="Times New Roman"/>
                <w:szCs w:val="21"/>
              </w:rPr>
            </w:pPr>
            <w:r>
              <w:rPr>
                <w:rFonts w:hint="eastAsia" w:ascii="Times New Roman" w:hAnsi="Times New Roman" w:cs="Times New Roman"/>
                <w:szCs w:val="21"/>
              </w:rPr>
              <w:t>10</w:t>
            </w:r>
          </w:p>
        </w:tc>
        <w:tc>
          <w:tcPr>
            <w:tcW w:w="2892" w:type="dxa"/>
            <w:vAlign w:val="center"/>
          </w:tcPr>
          <w:p>
            <w:pPr>
              <w:widowControl/>
              <w:jc w:val="center"/>
              <w:textAlignment w:val="center"/>
              <w:rPr>
                <w:rFonts w:ascii="Times New Roman" w:hAnsi="Times New Roman" w:cs="Times New Roman"/>
                <w:sz w:val="24"/>
                <w:szCs w:val="28"/>
              </w:rPr>
            </w:pPr>
            <w:r>
              <w:rPr>
                <w:rFonts w:hint="eastAsia" w:ascii="仿宋_GB2312" w:hAnsi="Arial" w:eastAsia="仿宋_GB2312" w:cs="仿宋_GB2312"/>
                <w:color w:val="000000"/>
                <w:kern w:val="0"/>
                <w:sz w:val="20"/>
                <w:szCs w:val="20"/>
                <w:lang w:bidi="ar"/>
              </w:rPr>
              <w:t>EPS永磁无刷马达生产线提升改造项目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总建筑面积37636平方米，改造三个（ZF GENC生产线NEXTEER C1lXX-2生产线、NEXTEER mEPS A90生产线），技改电机的NVH 问题、电机转子高温测试功能、磁片粘结包覆技术）实现电机输出功率更大且安全、自动线检测等功能，提高产品组装工艺精度，提高产品性能。电机外壳采用高精度冲压设计，简化制造工艺，满足汽车行业对无刷电机多极磁环在线快速检测、自动判断及数据记录追溯功能;计划购买自动化生产线BOBBIN 组人机、注塑机、热合机、烘干机等生产装备、EOL检测设备、NVH测试机，以及制冷设备等先进设备。改扩建后新增年产140万台EPS永磁无刷马达生产线五条，建成后全厂年产能540万台EPS永磁无刷马达20条，新增产值14000万元。</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11500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2022年1月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1</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闽侯祥鑫军民融合特种合金铝新材料项目</w:t>
            </w:r>
          </w:p>
        </w:tc>
        <w:tc>
          <w:tcPr>
            <w:tcW w:w="5125" w:type="dxa"/>
            <w:vAlign w:val="center"/>
          </w:tcPr>
          <w:p>
            <w:pPr>
              <w:rPr>
                <w:rFonts w:ascii="Times New Roman" w:hAnsi="Times New Roman" w:cs="Times New Roman"/>
                <w:sz w:val="24"/>
                <w:szCs w:val="28"/>
              </w:rPr>
            </w:pPr>
            <w:r>
              <w:rPr>
                <w:rFonts w:hint="eastAsia" w:ascii="Times New Roman" w:hAnsi="Times New Roman" w:cs="Times New Roman"/>
                <w:sz w:val="18"/>
                <w:szCs w:val="28"/>
              </w:rPr>
              <w:t>总建筑面积</w:t>
            </w:r>
            <w:r>
              <w:rPr>
                <w:rFonts w:ascii="Times New Roman" w:hAnsi="Times New Roman" w:cs="Times New Roman"/>
                <w:sz w:val="18"/>
                <w:szCs w:val="28"/>
              </w:rPr>
              <w:t>230000平方米,一期引进特种合金铝铸棒专业制造生产线及配套设备,建设熔铸车间及配套工模具车间,生产特种合金铝铸棒50万吨/年,环保复化铝合金铸材25万吨/年；二期引进特种合金铝铸棒专业制造生产线及配套设备,生产特种合金铝新材料6万吨/年,以及配套建设综合办公楼、员工活动中心、员工宿舍。</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1</w:t>
            </w:r>
            <w:r>
              <w:rPr>
                <w:rFonts w:ascii="Times New Roman" w:hAnsi="Times New Roman" w:cs="Times New Roman"/>
                <w:szCs w:val="28"/>
              </w:rPr>
              <w:t>80000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w:t>
            </w:r>
            <w:r>
              <w:rPr>
                <w:rFonts w:ascii="Times New Roman" w:hAnsi="Times New Roman" w:cs="Times New Roman"/>
                <w:szCs w:val="28"/>
              </w:rPr>
              <w:t>021年</w:t>
            </w:r>
            <w:r>
              <w:rPr>
                <w:rFonts w:hint="eastAsia" w:ascii="Times New Roman" w:hAnsi="Times New Roman" w:cs="Times New Roman"/>
                <w:szCs w:val="28"/>
              </w:rPr>
              <w:t>1</w:t>
            </w:r>
            <w:r>
              <w:rPr>
                <w:rFonts w:ascii="Times New Roman" w:hAnsi="Times New Roman" w:cs="Times New Roman"/>
                <w:szCs w:val="28"/>
              </w:rPr>
              <w:t>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hint="eastAsia"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2</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东南汽车城自来水厂项目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规划用地面积99.78亩，水厂建成后供水规模可达 20万吨/天（近期建设规模为10万吨/天，远期建设规模为10万吨/天）。</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38000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2021年11月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hint="eastAsia"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3</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福州新榕</w:t>
            </w:r>
            <w:r>
              <w:rPr>
                <w:rFonts w:ascii="Times New Roman" w:hAnsi="Times New Roman" w:cs="Times New Roman"/>
                <w:sz w:val="24"/>
                <w:szCs w:val="28"/>
              </w:rPr>
              <w:t>MF-SCH袋式过滤器/精密过滤器生产线项目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项目利用自有厂房面积</w:t>
            </w:r>
            <w:r>
              <w:rPr>
                <w:rFonts w:ascii="Times New Roman" w:hAnsi="Times New Roman" w:cs="Times New Roman"/>
                <w:sz w:val="18"/>
                <w:szCs w:val="28"/>
              </w:rPr>
              <w:t>7590平方米,购入测距仪、微孔滤芯精密切割数控机床等建成年产3500万件MF-SCH袋式过滤器/精密过滤器生产线。</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1</w:t>
            </w:r>
            <w:r>
              <w:rPr>
                <w:rFonts w:ascii="Times New Roman" w:hAnsi="Times New Roman" w:cs="Times New Roman"/>
                <w:szCs w:val="28"/>
              </w:rPr>
              <w:t>0153</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w:t>
            </w:r>
            <w:r>
              <w:rPr>
                <w:rFonts w:ascii="Times New Roman" w:hAnsi="Times New Roman" w:cs="Times New Roman"/>
                <w:szCs w:val="28"/>
              </w:rPr>
              <w:t>021年</w:t>
            </w:r>
            <w:r>
              <w:rPr>
                <w:rFonts w:hint="eastAsia" w:ascii="Times New Roman" w:hAnsi="Times New Roman" w:cs="Times New Roman"/>
                <w:szCs w:val="28"/>
              </w:rPr>
              <w:t>1</w:t>
            </w:r>
            <w:r>
              <w:rPr>
                <w:rFonts w:ascii="Times New Roman" w:hAnsi="Times New Roman" w:cs="Times New Roman"/>
                <w:szCs w:val="28"/>
              </w:rPr>
              <w:t>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hint="eastAsia"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4</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中恒科创中心</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本项目位于上街镇新峰村，面积约25223平方米，购买GPS监控设备、5G云技术网络储存服务器、5G无线网络覆盖系统、智能安防报警系统、园区出入门禁系统、智能停车管理系统、智慧园区管理系统，主要建设5G、人工智能等高新技术科创中心、建成后引入企业约100家。</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38600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w:t>
            </w:r>
            <w:r>
              <w:rPr>
                <w:rFonts w:ascii="Times New Roman" w:hAnsi="Times New Roman" w:cs="Times New Roman"/>
                <w:szCs w:val="28"/>
              </w:rPr>
              <w:t>02</w:t>
            </w:r>
            <w:r>
              <w:rPr>
                <w:rFonts w:hint="eastAsia" w:ascii="Times New Roman" w:hAnsi="Times New Roman" w:cs="Times New Roman"/>
                <w:szCs w:val="28"/>
              </w:rPr>
              <w:t>1</w:t>
            </w:r>
            <w:r>
              <w:rPr>
                <w:rFonts w:ascii="Times New Roman" w:hAnsi="Times New Roman" w:cs="Times New Roman"/>
                <w:szCs w:val="28"/>
              </w:rPr>
              <w:t>年</w:t>
            </w:r>
            <w:r>
              <w:rPr>
                <w:rFonts w:hint="eastAsia" w:ascii="Times New Roman" w:hAnsi="Times New Roman" w:cs="Times New Roman"/>
                <w:szCs w:val="28"/>
              </w:rPr>
              <w:t>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hint="eastAsia"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5</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福建青口科技公司厂房改建项目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对原有厂房进行改造</w:t>
            </w:r>
            <w:r>
              <w:rPr>
                <w:rFonts w:ascii="Times New Roman" w:hAnsi="Times New Roman" w:cs="Times New Roman"/>
                <w:sz w:val="18"/>
                <w:szCs w:val="28"/>
              </w:rPr>
              <w:t>,并新购置自动化生产线。</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6000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w:t>
            </w:r>
            <w:r>
              <w:rPr>
                <w:rFonts w:ascii="Times New Roman" w:hAnsi="Times New Roman" w:cs="Times New Roman"/>
                <w:szCs w:val="28"/>
              </w:rPr>
              <w:t>021年</w:t>
            </w:r>
            <w:r>
              <w:rPr>
                <w:rFonts w:hint="eastAsia" w:ascii="Times New Roman" w:hAnsi="Times New Roman" w:cs="Times New Roman"/>
                <w:szCs w:val="28"/>
              </w:rPr>
              <w:t>1</w:t>
            </w:r>
            <w:r>
              <w:rPr>
                <w:rFonts w:ascii="Times New Roman" w:hAnsi="Times New Roman" w:cs="Times New Roman"/>
                <w:szCs w:val="28"/>
              </w:rPr>
              <w:t>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hint="eastAsia"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6</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福州锐新金属自动化流水线建设项目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本项目主要建筑面积</w:t>
            </w:r>
            <w:r>
              <w:rPr>
                <w:rFonts w:ascii="Times New Roman" w:hAnsi="Times New Roman" w:cs="Times New Roman"/>
                <w:sz w:val="18"/>
                <w:szCs w:val="28"/>
              </w:rPr>
              <w:t>6000平方,引进自动化油压设备和自动环保涂装生产流水线等设备,该项目建成后预计产能达1100万件加工能力。</w:t>
            </w:r>
          </w:p>
        </w:tc>
        <w:tc>
          <w:tcPr>
            <w:tcW w:w="1701" w:type="dxa"/>
            <w:vAlign w:val="center"/>
          </w:tcPr>
          <w:p>
            <w:pPr>
              <w:jc w:val="center"/>
              <w:rPr>
                <w:rFonts w:ascii="Times New Roman" w:hAnsi="Times New Roman" w:cs="Times New Roman"/>
                <w:szCs w:val="28"/>
              </w:rPr>
            </w:pPr>
            <w:r>
              <w:rPr>
                <w:rFonts w:ascii="Times New Roman" w:hAnsi="Times New Roman" w:cs="Times New Roman"/>
                <w:szCs w:val="28"/>
              </w:rPr>
              <w:t>15047</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20</w:t>
            </w:r>
            <w:r>
              <w:rPr>
                <w:rFonts w:ascii="Times New Roman" w:hAnsi="Times New Roman" w:cs="Times New Roman"/>
                <w:szCs w:val="28"/>
              </w:rPr>
              <w:t>21年</w:t>
            </w:r>
            <w:r>
              <w:rPr>
                <w:rFonts w:hint="eastAsia" w:ascii="Times New Roman" w:hAnsi="Times New Roman" w:cs="Times New Roman"/>
                <w:szCs w:val="28"/>
              </w:rPr>
              <w:t>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hint="eastAsia"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7</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福州星汉模具汽车模具、五金制品生产项目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项目租用福州环力汽车配件有限公司厂房面积</w:t>
            </w:r>
            <w:r>
              <w:rPr>
                <w:rFonts w:ascii="Times New Roman" w:hAnsi="Times New Roman" w:cs="Times New Roman"/>
                <w:sz w:val="18"/>
                <w:szCs w:val="28"/>
              </w:rPr>
              <w:t>3593平方米,购买注塑机、CNC自动加工中心、镜面火花机、铣床、磨床等先进设备,建成年产能五金制品300万件生产线一条。</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1</w:t>
            </w:r>
            <w:r>
              <w:rPr>
                <w:rFonts w:ascii="Times New Roman" w:hAnsi="Times New Roman" w:cs="Times New Roman"/>
                <w:szCs w:val="28"/>
              </w:rPr>
              <w:t>0098</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202</w:t>
            </w:r>
            <w:r>
              <w:rPr>
                <w:rFonts w:ascii="Times New Roman" w:hAnsi="Times New Roman" w:cs="Times New Roman"/>
                <w:szCs w:val="28"/>
              </w:rPr>
              <w:t>1年</w:t>
            </w:r>
            <w:r>
              <w:rPr>
                <w:rFonts w:hint="eastAsia" w:ascii="Times New Roman" w:hAnsi="Times New Roman" w:cs="Times New Roman"/>
                <w:szCs w:val="28"/>
              </w:rPr>
              <w:t>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hint="eastAsia"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8</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福州茉莉花茶生产研发基地</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该项目位于上街镇美岐村，主要建筑面积达22375平方米，主要用于茉莉花茶生产线、研发中心、展示中心、茉莉花茶史培训中心等项目的建设。建成后集茉莉花茶生产、研发、展示等为一体，带动上街制茶产业发展。</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32000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w:t>
            </w:r>
            <w:r>
              <w:rPr>
                <w:rFonts w:ascii="Times New Roman" w:hAnsi="Times New Roman" w:cs="Times New Roman"/>
                <w:szCs w:val="28"/>
              </w:rPr>
              <w:t>021年</w:t>
            </w:r>
            <w:r>
              <w:rPr>
                <w:rFonts w:hint="eastAsia" w:ascii="Times New Roman" w:hAnsi="Times New Roman" w:cs="Times New Roman"/>
                <w:szCs w:val="28"/>
              </w:rPr>
              <w:t>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hint="eastAsia"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9</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永同兴文创基地建设项目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建设大漆文创产品生产车间、漆艺文化陈列馆、员工办公楼等。</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7</w:t>
            </w:r>
            <w:r>
              <w:rPr>
                <w:rFonts w:ascii="Times New Roman" w:hAnsi="Times New Roman" w:cs="Times New Roman"/>
                <w:szCs w:val="28"/>
              </w:rPr>
              <w:t>000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w:t>
            </w:r>
            <w:r>
              <w:rPr>
                <w:rFonts w:ascii="Times New Roman" w:hAnsi="Times New Roman" w:cs="Times New Roman"/>
                <w:szCs w:val="28"/>
              </w:rPr>
              <w:t>021年</w:t>
            </w:r>
            <w:r>
              <w:rPr>
                <w:rFonts w:hint="eastAsia" w:ascii="Times New Roman" w:hAnsi="Times New Roman" w:cs="Times New Roman"/>
                <w:szCs w:val="28"/>
              </w:rPr>
              <w:t>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hint="eastAsia" w:ascii="Times New Roman" w:hAnsi="Times New Roman" w:cs="Times New Roman"/>
                <w:szCs w:val="21"/>
              </w:rPr>
            </w:pPr>
            <w:r>
              <w:rPr>
                <w:rFonts w:hint="eastAsia" w:ascii="Times New Roman" w:hAnsi="Times New Roman" w:cs="Times New Roman"/>
                <w:szCs w:val="21"/>
              </w:rPr>
              <w:t>2</w:t>
            </w:r>
            <w:r>
              <w:rPr>
                <w:rFonts w:ascii="Times New Roman" w:hAnsi="Times New Roman" w:cs="Times New Roman"/>
                <w:szCs w:val="21"/>
              </w:rPr>
              <w:t>0</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福州聚德汽车零部件厂房项目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新建厂房面积</w:t>
            </w:r>
            <w:r>
              <w:rPr>
                <w:rFonts w:ascii="Times New Roman" w:hAnsi="Times New Roman" w:cs="Times New Roman"/>
                <w:sz w:val="18"/>
                <w:szCs w:val="28"/>
              </w:rPr>
              <w:t>5000平方米,在新建厂房中导入伺服注塑机、机械手等设备,建成一条汽车紧固件生产线,预计年产汽车紧固件1000万件。</w:t>
            </w:r>
          </w:p>
        </w:tc>
        <w:tc>
          <w:tcPr>
            <w:tcW w:w="1701" w:type="dxa"/>
            <w:vAlign w:val="center"/>
          </w:tcPr>
          <w:p>
            <w:pPr>
              <w:jc w:val="center"/>
              <w:rPr>
                <w:rFonts w:ascii="Times New Roman" w:hAnsi="Times New Roman" w:cs="Times New Roman"/>
                <w:szCs w:val="28"/>
              </w:rPr>
            </w:pPr>
            <w:r>
              <w:rPr>
                <w:rFonts w:ascii="Times New Roman" w:hAnsi="Times New Roman" w:cs="Times New Roman"/>
                <w:szCs w:val="28"/>
              </w:rPr>
              <w:t>10079</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202</w:t>
            </w:r>
            <w:r>
              <w:rPr>
                <w:rFonts w:ascii="Times New Roman" w:hAnsi="Times New Roman" w:cs="Times New Roman"/>
                <w:szCs w:val="28"/>
              </w:rPr>
              <w:t>1年</w:t>
            </w:r>
            <w:r>
              <w:rPr>
                <w:rFonts w:hint="eastAsia" w:ascii="Times New Roman" w:hAnsi="Times New Roman" w:cs="Times New Roman"/>
                <w:szCs w:val="28"/>
              </w:rPr>
              <w:t>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hint="eastAsia" w:ascii="Times New Roman" w:hAnsi="Times New Roman" w:cs="Times New Roman"/>
                <w:szCs w:val="21"/>
              </w:rPr>
            </w:pPr>
            <w:r>
              <w:rPr>
                <w:rFonts w:hint="eastAsia" w:ascii="Times New Roman" w:hAnsi="Times New Roman" w:cs="Times New Roman"/>
                <w:szCs w:val="21"/>
              </w:rPr>
              <w:t>2</w:t>
            </w:r>
            <w:r>
              <w:rPr>
                <w:rFonts w:ascii="Times New Roman" w:hAnsi="Times New Roman" w:cs="Times New Roman"/>
                <w:szCs w:val="21"/>
              </w:rPr>
              <w:t>1</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爱德克斯电动制动器生产线扩建项目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改建厂房面积</w:t>
            </w:r>
            <w:r>
              <w:rPr>
                <w:rFonts w:ascii="Times New Roman" w:hAnsi="Times New Roman" w:cs="Times New Roman"/>
                <w:sz w:val="18"/>
                <w:szCs w:val="28"/>
              </w:rPr>
              <w:t>1万平方米,购置年产40万台组装生产线1条。</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1</w:t>
            </w:r>
            <w:r>
              <w:rPr>
                <w:rFonts w:ascii="Times New Roman" w:hAnsi="Times New Roman" w:cs="Times New Roman"/>
                <w:szCs w:val="28"/>
              </w:rPr>
              <w:t>5000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w:t>
            </w:r>
            <w:r>
              <w:rPr>
                <w:rFonts w:ascii="Times New Roman" w:hAnsi="Times New Roman" w:cs="Times New Roman"/>
                <w:szCs w:val="28"/>
              </w:rPr>
              <w:t>021年</w:t>
            </w:r>
            <w:r>
              <w:rPr>
                <w:rFonts w:hint="eastAsia" w:ascii="Times New Roman" w:hAnsi="Times New Roman" w:cs="Times New Roman"/>
                <w:szCs w:val="28"/>
              </w:rPr>
              <w:t>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hint="eastAsia" w:ascii="Times New Roman" w:hAnsi="Times New Roman" w:cs="Times New Roman"/>
                <w:szCs w:val="21"/>
              </w:rPr>
            </w:pPr>
            <w:r>
              <w:rPr>
                <w:rFonts w:hint="eastAsia" w:ascii="Times New Roman" w:hAnsi="Times New Roman" w:cs="Times New Roman"/>
                <w:szCs w:val="21"/>
              </w:rPr>
              <w:t>2</w:t>
            </w:r>
            <w:r>
              <w:rPr>
                <w:rFonts w:ascii="Times New Roman" w:hAnsi="Times New Roman" w:cs="Times New Roman"/>
                <w:szCs w:val="21"/>
              </w:rPr>
              <w:t>2</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闽侯宇祥食品智能生产基地项目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规划用地</w:t>
            </w:r>
            <w:r>
              <w:rPr>
                <w:rFonts w:ascii="Times New Roman" w:hAnsi="Times New Roman" w:cs="Times New Roman"/>
                <w:sz w:val="18"/>
                <w:szCs w:val="28"/>
              </w:rPr>
              <w:t>40.24亩,总建筑面积34122.34平方米,主要建设食品智能生产厂房及附属配套设施。</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1</w:t>
            </w:r>
            <w:r>
              <w:rPr>
                <w:rFonts w:ascii="Times New Roman" w:hAnsi="Times New Roman" w:cs="Times New Roman"/>
                <w:szCs w:val="28"/>
              </w:rPr>
              <w:t>8000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w:t>
            </w:r>
            <w:r>
              <w:rPr>
                <w:rFonts w:ascii="Times New Roman" w:hAnsi="Times New Roman" w:cs="Times New Roman"/>
                <w:szCs w:val="28"/>
              </w:rPr>
              <w:t>021年</w:t>
            </w:r>
            <w:r>
              <w:rPr>
                <w:rFonts w:hint="eastAsia" w:ascii="Times New Roman" w:hAnsi="Times New Roman" w:cs="Times New Roman"/>
                <w:szCs w:val="28"/>
              </w:rPr>
              <w:t>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hint="eastAsia" w:ascii="Times New Roman" w:hAnsi="Times New Roman" w:cs="Times New Roman"/>
                <w:szCs w:val="21"/>
              </w:rPr>
            </w:pPr>
            <w:r>
              <w:rPr>
                <w:rFonts w:hint="eastAsia" w:ascii="Times New Roman" w:hAnsi="Times New Roman" w:cs="Times New Roman"/>
                <w:szCs w:val="21"/>
              </w:rPr>
              <w:t>2</w:t>
            </w:r>
            <w:r>
              <w:rPr>
                <w:rFonts w:ascii="Times New Roman" w:hAnsi="Times New Roman" w:cs="Times New Roman"/>
                <w:szCs w:val="21"/>
              </w:rPr>
              <w:t>3</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闽乾工艺品厂房及配套设施建设项目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新建厂房面积</w:t>
            </w:r>
            <w:r>
              <w:rPr>
                <w:rFonts w:ascii="Times New Roman" w:hAnsi="Times New Roman" w:cs="Times New Roman"/>
                <w:sz w:val="18"/>
                <w:szCs w:val="28"/>
              </w:rPr>
              <w:t>45200平方米,主要建设厂房及配套设施。</w:t>
            </w:r>
          </w:p>
        </w:tc>
        <w:tc>
          <w:tcPr>
            <w:tcW w:w="1701" w:type="dxa"/>
            <w:vAlign w:val="center"/>
          </w:tcPr>
          <w:p>
            <w:pPr>
              <w:jc w:val="center"/>
              <w:rPr>
                <w:rFonts w:ascii="Times New Roman" w:hAnsi="Times New Roman" w:cs="Times New Roman"/>
                <w:szCs w:val="28"/>
              </w:rPr>
            </w:pPr>
            <w:r>
              <w:rPr>
                <w:rFonts w:ascii="Times New Roman" w:hAnsi="Times New Roman" w:cs="Times New Roman"/>
                <w:szCs w:val="28"/>
              </w:rPr>
              <w:t>25000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ascii="Times New Roman" w:hAnsi="Times New Roman" w:cs="Times New Roman"/>
                <w:szCs w:val="21"/>
              </w:rPr>
            </w:pPr>
            <w:r>
              <w:rPr>
                <w:rFonts w:hint="eastAsia" w:ascii="Times New Roman" w:hAnsi="Times New Roman" w:cs="Times New Roman"/>
                <w:szCs w:val="21"/>
              </w:rPr>
              <w:t>2</w:t>
            </w:r>
            <w:r>
              <w:rPr>
                <w:rFonts w:ascii="Times New Roman" w:hAnsi="Times New Roman" w:cs="Times New Roman"/>
                <w:szCs w:val="21"/>
              </w:rPr>
              <w:t>4</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福州富诚新增塑胶模具全自动生产线建设项目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项目租赁福州市鑫凯晟建材有限公司厂房面积</w:t>
            </w:r>
            <w:r>
              <w:rPr>
                <w:rFonts w:ascii="Times New Roman" w:hAnsi="Times New Roman" w:cs="Times New Roman"/>
                <w:sz w:val="18"/>
                <w:szCs w:val="28"/>
              </w:rPr>
              <w:t>5672平方米,新增（CNC）数控机床加工中心、注塑机、破碎机、精密磨床及其相应配套设施,预计新增年产球笼防尘套1800万件。</w:t>
            </w:r>
          </w:p>
        </w:tc>
        <w:tc>
          <w:tcPr>
            <w:tcW w:w="1701" w:type="dxa"/>
            <w:vAlign w:val="center"/>
          </w:tcPr>
          <w:p>
            <w:pPr>
              <w:jc w:val="center"/>
              <w:rPr>
                <w:rFonts w:ascii="Times New Roman" w:hAnsi="Times New Roman" w:cs="Times New Roman"/>
                <w:szCs w:val="28"/>
              </w:rPr>
            </w:pPr>
            <w:r>
              <w:rPr>
                <w:rFonts w:ascii="Times New Roman" w:hAnsi="Times New Roman" w:cs="Times New Roman"/>
                <w:szCs w:val="28"/>
              </w:rPr>
              <w:t>30582</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20</w:t>
            </w:r>
            <w:r>
              <w:rPr>
                <w:rFonts w:ascii="Times New Roman" w:hAnsi="Times New Roman" w:cs="Times New Roman"/>
                <w:szCs w:val="28"/>
              </w:rPr>
              <w:t>21年</w:t>
            </w:r>
            <w:r>
              <w:rPr>
                <w:rFonts w:hint="eastAsia" w:ascii="Times New Roman" w:hAnsi="Times New Roman" w:cs="Times New Roman"/>
                <w:szCs w:val="28"/>
              </w:rPr>
              <w:t>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hint="eastAsia" w:ascii="Times New Roman" w:hAnsi="Times New Roman" w:cs="Times New Roman"/>
                <w:szCs w:val="21"/>
              </w:rPr>
            </w:pPr>
            <w:r>
              <w:rPr>
                <w:rFonts w:hint="eastAsia" w:ascii="Times New Roman" w:hAnsi="Times New Roman" w:cs="Times New Roman"/>
                <w:szCs w:val="21"/>
              </w:rPr>
              <w:t>2</w:t>
            </w:r>
            <w:r>
              <w:rPr>
                <w:rFonts w:ascii="Times New Roman" w:hAnsi="Times New Roman" w:cs="Times New Roman"/>
                <w:szCs w:val="21"/>
              </w:rPr>
              <w:t>5</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福启汽车密封橡胶条技改项目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利用现有厂房</w:t>
            </w:r>
            <w:r>
              <w:rPr>
                <w:rFonts w:ascii="Times New Roman" w:hAnsi="Times New Roman" w:cs="Times New Roman"/>
                <w:sz w:val="18"/>
                <w:szCs w:val="28"/>
              </w:rPr>
              <w:t>6230平方米,在现有厂房内购入精密密封涂胶机、六轴涂胶机器人、定型冷却台等设备建设三条汽车密封橡胶条生产线,新增年产橡胶条9000万套。</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 xml:space="preserve">20261 </w:t>
            </w:r>
          </w:p>
          <w:p>
            <w:pPr>
              <w:jc w:val="center"/>
              <w:rPr>
                <w:rFonts w:ascii="Times New Roman" w:hAnsi="Times New Roman" w:cs="Times New Roman"/>
                <w:szCs w:val="28"/>
              </w:rPr>
            </w:pP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w:t>
            </w:r>
            <w:r>
              <w:rPr>
                <w:rFonts w:ascii="Times New Roman" w:hAnsi="Times New Roman" w:cs="Times New Roman"/>
                <w:szCs w:val="28"/>
              </w:rPr>
              <w:t>021年</w:t>
            </w:r>
            <w:r>
              <w:rPr>
                <w:rFonts w:hint="eastAsia" w:ascii="Times New Roman" w:hAnsi="Times New Roman" w:cs="Times New Roman"/>
                <w:szCs w:val="28"/>
              </w:rPr>
              <w:t>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hint="eastAsia" w:ascii="Times New Roman" w:hAnsi="Times New Roman" w:cs="Times New Roman"/>
                <w:szCs w:val="21"/>
              </w:rPr>
            </w:pPr>
            <w:r>
              <w:rPr>
                <w:rFonts w:hint="eastAsia" w:ascii="Times New Roman" w:hAnsi="Times New Roman" w:cs="Times New Roman"/>
                <w:szCs w:val="21"/>
              </w:rPr>
              <w:t>2</w:t>
            </w:r>
            <w:r>
              <w:rPr>
                <w:rFonts w:ascii="Times New Roman" w:hAnsi="Times New Roman" w:cs="Times New Roman"/>
                <w:szCs w:val="21"/>
              </w:rPr>
              <w:t>6</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扩产</w:t>
            </w:r>
            <w:r>
              <w:rPr>
                <w:rFonts w:ascii="Times New Roman" w:hAnsi="Times New Roman" w:cs="Times New Roman"/>
                <w:sz w:val="24"/>
                <w:szCs w:val="28"/>
              </w:rPr>
              <w:t>225万台助力转向EPS永磁无刷马达产线建设项目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利用公司现有四期厂房</w:t>
            </w:r>
            <w:r>
              <w:rPr>
                <w:rFonts w:ascii="Times New Roman" w:hAnsi="Times New Roman" w:cs="Times New Roman"/>
                <w:sz w:val="18"/>
                <w:szCs w:val="28"/>
              </w:rPr>
              <w:t>1000平方米,购买自动化生产线机器人、转部生产装备、定部生产装备、马达性能测试及配套、制冷设备等先进设备。建成年产225万台EPS永磁无刷马达生产线四条。</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1</w:t>
            </w:r>
            <w:r>
              <w:rPr>
                <w:rFonts w:ascii="Times New Roman" w:hAnsi="Times New Roman" w:cs="Times New Roman"/>
                <w:szCs w:val="28"/>
              </w:rPr>
              <w:t>3000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2021年7月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hint="eastAsia" w:ascii="Times New Roman" w:hAnsi="Times New Roman" w:cs="Times New Roman"/>
                <w:szCs w:val="21"/>
              </w:rPr>
            </w:pPr>
            <w:r>
              <w:rPr>
                <w:rFonts w:hint="eastAsia" w:ascii="Times New Roman" w:hAnsi="Times New Roman" w:cs="Times New Roman"/>
                <w:szCs w:val="21"/>
              </w:rPr>
              <w:t>2</w:t>
            </w:r>
            <w:r>
              <w:rPr>
                <w:rFonts w:ascii="Times New Roman" w:hAnsi="Times New Roman" w:cs="Times New Roman"/>
                <w:szCs w:val="21"/>
              </w:rPr>
              <w:t>7</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福州明昊塑胶有限公司增设塑料零件生产线项目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本项目利用现有厂房面积</w:t>
            </w:r>
            <w:r>
              <w:rPr>
                <w:rFonts w:ascii="Times New Roman" w:hAnsi="Times New Roman" w:cs="Times New Roman"/>
                <w:sz w:val="18"/>
                <w:szCs w:val="28"/>
              </w:rPr>
              <w:t>9000平方米,购入注塑机及光激光打印机建成塑料零件生产线,预计年产塑料制品200万件。</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1</w:t>
            </w:r>
            <w:r>
              <w:rPr>
                <w:rFonts w:ascii="Times New Roman" w:hAnsi="Times New Roman" w:cs="Times New Roman"/>
                <w:szCs w:val="28"/>
              </w:rPr>
              <w:t>0423</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202</w:t>
            </w:r>
            <w:r>
              <w:rPr>
                <w:rFonts w:ascii="Times New Roman" w:hAnsi="Times New Roman" w:cs="Times New Roman"/>
                <w:szCs w:val="28"/>
              </w:rPr>
              <w:t>1年</w:t>
            </w:r>
            <w:r>
              <w:rPr>
                <w:rFonts w:hint="eastAsia" w:ascii="Times New Roman" w:hAnsi="Times New Roman" w:cs="Times New Roman"/>
                <w:szCs w:val="28"/>
              </w:rPr>
              <w:t>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hint="eastAsia" w:ascii="Times New Roman" w:hAnsi="Times New Roman" w:cs="Times New Roman"/>
                <w:szCs w:val="21"/>
              </w:rPr>
            </w:pPr>
            <w:r>
              <w:rPr>
                <w:rFonts w:hint="eastAsia" w:ascii="Times New Roman" w:hAnsi="Times New Roman" w:cs="Times New Roman"/>
                <w:szCs w:val="21"/>
              </w:rPr>
              <w:t>2</w:t>
            </w:r>
            <w:r>
              <w:rPr>
                <w:rFonts w:ascii="Times New Roman" w:hAnsi="Times New Roman" w:cs="Times New Roman"/>
                <w:szCs w:val="21"/>
              </w:rPr>
              <w:t>8</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宏德盛产业园</w:t>
            </w:r>
            <w:r>
              <w:rPr>
                <w:rFonts w:ascii="Times New Roman" w:hAnsi="Times New Roman" w:cs="Times New Roman"/>
                <w:sz w:val="24"/>
                <w:szCs w:val="28"/>
              </w:rPr>
              <w:t>1#，2#、6#、7#厂房建设项目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规划用地</w:t>
            </w:r>
            <w:r>
              <w:rPr>
                <w:rFonts w:ascii="Times New Roman" w:hAnsi="Times New Roman" w:cs="Times New Roman"/>
                <w:sz w:val="18"/>
                <w:szCs w:val="28"/>
              </w:rPr>
              <w:t>6702平方米,总建筑面积35796平方米,主要建设厂房及附属设施,用于生产车用塑胶制品等汽车零部件。</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4</w:t>
            </w:r>
            <w:r>
              <w:rPr>
                <w:rFonts w:ascii="Times New Roman" w:hAnsi="Times New Roman" w:cs="Times New Roman"/>
                <w:szCs w:val="28"/>
              </w:rPr>
              <w:t>500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2021年7月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ascii="Times New Roman" w:hAnsi="Times New Roman" w:cs="Times New Roman"/>
                <w:szCs w:val="21"/>
              </w:rPr>
            </w:pPr>
            <w:r>
              <w:rPr>
                <w:rFonts w:ascii="Times New Roman" w:hAnsi="Times New Roman" w:cs="Times New Roman"/>
                <w:szCs w:val="21"/>
              </w:rPr>
              <w:t>29</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天卓汽车塑料装饰品生产建设项目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总建筑面积</w:t>
            </w:r>
            <w:r>
              <w:rPr>
                <w:rFonts w:ascii="Times New Roman" w:hAnsi="Times New Roman" w:cs="Times New Roman"/>
                <w:sz w:val="18"/>
                <w:szCs w:val="28"/>
              </w:rPr>
              <w:t>26570平方米,其中新建厂房面积18650平方米,本项目购买注塑机、CNC自动加工中心、数控加工中心以及生产线与环保设备等先进设备。用于建设汽车塑料装饰品生产线4条。年产80万件汽车塑料装饰品。</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3</w:t>
            </w:r>
            <w:r>
              <w:rPr>
                <w:rFonts w:ascii="Times New Roman" w:hAnsi="Times New Roman" w:cs="Times New Roman"/>
                <w:szCs w:val="28"/>
              </w:rPr>
              <w:t>6098</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w:t>
            </w:r>
            <w:r>
              <w:rPr>
                <w:rFonts w:ascii="Times New Roman" w:hAnsi="Times New Roman" w:cs="Times New Roman"/>
                <w:szCs w:val="28"/>
              </w:rPr>
              <w:t>021年6月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hint="eastAsia" w:ascii="Times New Roman" w:hAnsi="Times New Roman" w:cs="Times New Roman"/>
                <w:szCs w:val="21"/>
              </w:rPr>
            </w:pPr>
            <w:r>
              <w:rPr>
                <w:rFonts w:hint="eastAsia" w:ascii="Times New Roman" w:hAnsi="Times New Roman" w:cs="Times New Roman"/>
                <w:szCs w:val="21"/>
              </w:rPr>
              <w:t>3</w:t>
            </w:r>
            <w:r>
              <w:rPr>
                <w:rFonts w:ascii="Times New Roman" w:hAnsi="Times New Roman" w:cs="Times New Roman"/>
                <w:szCs w:val="21"/>
              </w:rPr>
              <w:t>0</w:t>
            </w:r>
          </w:p>
        </w:tc>
        <w:tc>
          <w:tcPr>
            <w:tcW w:w="2892" w:type="dxa"/>
            <w:vAlign w:val="center"/>
          </w:tcPr>
          <w:p>
            <w:pPr>
              <w:jc w:val="center"/>
              <w:rPr>
                <w:rFonts w:ascii="Times New Roman" w:hAnsi="Times New Roman" w:cs="Times New Roman"/>
                <w:sz w:val="24"/>
                <w:szCs w:val="28"/>
              </w:rPr>
            </w:pPr>
            <w:r>
              <w:rPr>
                <w:rFonts w:ascii="Times New Roman" w:hAnsi="Times New Roman" w:cs="Times New Roman"/>
                <w:sz w:val="24"/>
                <w:szCs w:val="28"/>
              </w:rPr>
              <w:t>林立汽车零部件生产线项目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主要建筑面积</w:t>
            </w:r>
            <w:r>
              <w:rPr>
                <w:rFonts w:ascii="Times New Roman" w:hAnsi="Times New Roman" w:cs="Times New Roman"/>
                <w:sz w:val="18"/>
                <w:szCs w:val="28"/>
              </w:rPr>
              <w:t>6500平方米,购买数控铣车床,冲压机,切割机,折弯机等先进设备,建成年产汽车金属紧固件2000万件生产线一条。</w:t>
            </w:r>
          </w:p>
        </w:tc>
        <w:tc>
          <w:tcPr>
            <w:tcW w:w="1701" w:type="dxa"/>
            <w:vAlign w:val="center"/>
          </w:tcPr>
          <w:p>
            <w:pPr>
              <w:jc w:val="center"/>
              <w:rPr>
                <w:rFonts w:ascii="Times New Roman" w:hAnsi="Times New Roman" w:cs="Times New Roman"/>
                <w:szCs w:val="28"/>
              </w:rPr>
            </w:pPr>
            <w:r>
              <w:rPr>
                <w:rFonts w:ascii="Times New Roman" w:hAnsi="Times New Roman" w:cs="Times New Roman"/>
                <w:szCs w:val="28"/>
              </w:rPr>
              <w:t>19003</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w:t>
            </w:r>
            <w:r>
              <w:rPr>
                <w:rFonts w:ascii="Times New Roman" w:hAnsi="Times New Roman" w:cs="Times New Roman"/>
                <w:szCs w:val="28"/>
              </w:rPr>
              <w:t>021年</w:t>
            </w:r>
            <w:r>
              <w:rPr>
                <w:rFonts w:hint="eastAsia" w:ascii="Times New Roman" w:hAnsi="Times New Roman" w:cs="Times New Roman"/>
                <w:szCs w:val="28"/>
              </w:rPr>
              <w:t>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hint="eastAsia" w:ascii="Times New Roman" w:hAnsi="Times New Roman" w:cs="Times New Roman"/>
                <w:szCs w:val="21"/>
              </w:rPr>
            </w:pPr>
            <w:r>
              <w:rPr>
                <w:rFonts w:hint="eastAsia" w:ascii="Times New Roman" w:hAnsi="Times New Roman" w:cs="Times New Roman"/>
                <w:szCs w:val="21"/>
              </w:rPr>
              <w:t>3</w:t>
            </w:r>
            <w:r>
              <w:rPr>
                <w:rFonts w:ascii="Times New Roman" w:hAnsi="Times New Roman" w:cs="Times New Roman"/>
                <w:szCs w:val="21"/>
              </w:rPr>
              <w:t>1</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青顺物流集团有限公司厂房建设项目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主要建设青顺物流集团有限公司厂房及停车场。</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3</w:t>
            </w:r>
            <w:r>
              <w:rPr>
                <w:rFonts w:ascii="Times New Roman" w:hAnsi="Times New Roman" w:cs="Times New Roman"/>
                <w:szCs w:val="28"/>
              </w:rPr>
              <w:t>0000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w:t>
            </w:r>
            <w:r>
              <w:rPr>
                <w:rFonts w:ascii="Times New Roman" w:hAnsi="Times New Roman" w:cs="Times New Roman"/>
                <w:szCs w:val="28"/>
              </w:rPr>
              <w:t>021年</w:t>
            </w:r>
            <w:r>
              <w:rPr>
                <w:rFonts w:hint="eastAsia" w:ascii="Times New Roman" w:hAnsi="Times New Roman" w:cs="Times New Roman"/>
                <w:szCs w:val="28"/>
              </w:rPr>
              <w:t>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hint="eastAsia" w:ascii="Times New Roman" w:hAnsi="Times New Roman" w:cs="Times New Roman"/>
                <w:szCs w:val="21"/>
              </w:rPr>
            </w:pPr>
            <w:r>
              <w:rPr>
                <w:rFonts w:hint="eastAsia" w:ascii="Times New Roman" w:hAnsi="Times New Roman" w:cs="Times New Roman"/>
                <w:szCs w:val="21"/>
              </w:rPr>
              <w:t>3</w:t>
            </w:r>
            <w:r>
              <w:rPr>
                <w:rFonts w:ascii="Times New Roman" w:hAnsi="Times New Roman" w:cs="Times New Roman"/>
                <w:szCs w:val="21"/>
              </w:rPr>
              <w:t>2</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福州坚利工艺品有限公司车间二项目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该项目在原规划红线范围内扩建建筑面积约</w:t>
            </w:r>
            <w:r>
              <w:rPr>
                <w:rFonts w:ascii="Times New Roman" w:hAnsi="Times New Roman" w:cs="Times New Roman"/>
                <w:sz w:val="18"/>
                <w:szCs w:val="28"/>
              </w:rPr>
              <w:t>12000平方米,主要建设用于木制工艺品生产的车间及其附属配套设施。</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1</w:t>
            </w:r>
            <w:r>
              <w:rPr>
                <w:rFonts w:ascii="Times New Roman" w:hAnsi="Times New Roman" w:cs="Times New Roman"/>
                <w:szCs w:val="28"/>
              </w:rPr>
              <w:t>0180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2021年6月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hint="eastAsia" w:ascii="Times New Roman" w:hAnsi="Times New Roman" w:cs="Times New Roman"/>
                <w:szCs w:val="21"/>
              </w:rPr>
            </w:pPr>
            <w:r>
              <w:rPr>
                <w:rFonts w:hint="eastAsia" w:ascii="Times New Roman" w:hAnsi="Times New Roman" w:cs="Times New Roman"/>
                <w:szCs w:val="21"/>
              </w:rPr>
              <w:t>3</w:t>
            </w:r>
            <w:r>
              <w:rPr>
                <w:rFonts w:ascii="Times New Roman" w:hAnsi="Times New Roman" w:cs="Times New Roman"/>
                <w:szCs w:val="21"/>
              </w:rPr>
              <w:t>3</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福建榕圣市政建材产业园项目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主要建设约</w:t>
            </w:r>
            <w:r>
              <w:rPr>
                <w:rFonts w:ascii="Times New Roman" w:hAnsi="Times New Roman" w:cs="Times New Roman"/>
                <w:sz w:val="18"/>
                <w:szCs w:val="28"/>
              </w:rPr>
              <w:t>31866.24平方米,新建生产车间、商混搅拌楼及配套设施,年产沥青混凝土30万吨,商品混凝土40万立方米。</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2</w:t>
            </w:r>
            <w:r>
              <w:rPr>
                <w:rFonts w:ascii="Times New Roman" w:hAnsi="Times New Roman" w:cs="Times New Roman"/>
                <w:szCs w:val="28"/>
              </w:rPr>
              <w:t>3510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2021年6月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ascii="Times New Roman" w:hAnsi="Times New Roman" w:cs="Times New Roman"/>
                <w:szCs w:val="21"/>
              </w:rPr>
            </w:pPr>
            <w:r>
              <w:rPr>
                <w:rFonts w:ascii="Times New Roman" w:hAnsi="Times New Roman" w:cs="Times New Roman"/>
                <w:szCs w:val="21"/>
              </w:rPr>
              <w:t>34</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源申精密汽车塑胶配件生产项目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总建筑面积</w:t>
            </w:r>
            <w:r>
              <w:rPr>
                <w:rFonts w:ascii="Times New Roman" w:hAnsi="Times New Roman" w:cs="Times New Roman"/>
                <w:sz w:val="18"/>
                <w:szCs w:val="28"/>
              </w:rPr>
              <w:t>11121平方米,其中新建厂房面积6952平方米,在新建厂房引入注塑机,切割机等设备用于建设两条汽车塑胶模具生产线。预计年产量塑胶配件1700万件。</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 xml:space="preserve">20968 </w:t>
            </w:r>
          </w:p>
          <w:p>
            <w:pPr>
              <w:jc w:val="center"/>
              <w:rPr>
                <w:rFonts w:ascii="Times New Roman" w:hAnsi="Times New Roman" w:cs="Times New Roman"/>
                <w:szCs w:val="28"/>
              </w:rPr>
            </w:pP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w:t>
            </w:r>
            <w:r>
              <w:rPr>
                <w:rFonts w:ascii="Times New Roman" w:hAnsi="Times New Roman" w:cs="Times New Roman"/>
                <w:szCs w:val="28"/>
              </w:rPr>
              <w:t>021年</w:t>
            </w:r>
            <w:r>
              <w:rPr>
                <w:rFonts w:hint="eastAsia" w:ascii="Times New Roman" w:hAnsi="Times New Roman" w:cs="Times New Roman"/>
                <w:szCs w:val="28"/>
              </w:rPr>
              <w:t>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hint="eastAsia" w:ascii="Times New Roman" w:hAnsi="Times New Roman" w:cs="Times New Roman"/>
                <w:szCs w:val="21"/>
              </w:rPr>
            </w:pPr>
            <w:r>
              <w:rPr>
                <w:rFonts w:hint="eastAsia" w:ascii="Times New Roman" w:hAnsi="Times New Roman" w:cs="Times New Roman"/>
                <w:szCs w:val="21"/>
              </w:rPr>
              <w:t>3</w:t>
            </w:r>
            <w:r>
              <w:rPr>
                <w:rFonts w:ascii="Times New Roman" w:hAnsi="Times New Roman" w:cs="Times New Roman"/>
                <w:szCs w:val="21"/>
              </w:rPr>
              <w:t>5</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闽侯县聚成汽车部件有限公司玻璃密封条生产线项目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项目利用自有厂房面积</w:t>
            </w:r>
            <w:r>
              <w:rPr>
                <w:rFonts w:ascii="Times New Roman" w:hAnsi="Times New Roman" w:cs="Times New Roman"/>
                <w:sz w:val="18"/>
                <w:szCs w:val="28"/>
              </w:rPr>
              <w:t>3000平方米,新增注塑机4台,牵引机及四复合挤出机组各一台,建成一条生产武汉通用、沈阳通用、长安福特玻璃密封条200万件/年 生产线。</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1</w:t>
            </w:r>
            <w:r>
              <w:rPr>
                <w:rFonts w:ascii="Times New Roman" w:hAnsi="Times New Roman" w:cs="Times New Roman"/>
                <w:szCs w:val="28"/>
              </w:rPr>
              <w:t>0048</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w:t>
            </w:r>
            <w:r>
              <w:rPr>
                <w:rFonts w:ascii="Times New Roman" w:hAnsi="Times New Roman" w:cs="Times New Roman"/>
                <w:szCs w:val="28"/>
              </w:rPr>
              <w:t>021年</w:t>
            </w:r>
            <w:r>
              <w:rPr>
                <w:rFonts w:hint="eastAsia" w:ascii="Times New Roman" w:hAnsi="Times New Roman" w:cs="Times New Roman"/>
                <w:szCs w:val="28"/>
              </w:rPr>
              <w:t>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hint="eastAsia" w:ascii="Times New Roman" w:hAnsi="Times New Roman" w:cs="Times New Roman"/>
                <w:szCs w:val="21"/>
              </w:rPr>
            </w:pPr>
            <w:r>
              <w:rPr>
                <w:rFonts w:hint="eastAsia" w:ascii="Times New Roman" w:hAnsi="Times New Roman" w:cs="Times New Roman"/>
                <w:szCs w:val="21"/>
              </w:rPr>
              <w:t>3</w:t>
            </w:r>
            <w:r>
              <w:rPr>
                <w:rFonts w:ascii="Times New Roman" w:hAnsi="Times New Roman" w:cs="Times New Roman"/>
                <w:szCs w:val="21"/>
              </w:rPr>
              <w:t>6</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福建兴澳诚汽车玻璃生产项目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总建筑面积</w:t>
            </w:r>
            <w:r>
              <w:rPr>
                <w:rFonts w:ascii="Times New Roman" w:hAnsi="Times New Roman" w:cs="Times New Roman"/>
                <w:sz w:val="18"/>
                <w:szCs w:val="28"/>
              </w:rPr>
              <w:t>35000平方米,建设厂房及配套设施,生产汽车玻璃、特种玻璃等。</w:t>
            </w:r>
          </w:p>
        </w:tc>
        <w:tc>
          <w:tcPr>
            <w:tcW w:w="1701" w:type="dxa"/>
            <w:vAlign w:val="center"/>
          </w:tcPr>
          <w:p>
            <w:pPr>
              <w:jc w:val="center"/>
              <w:rPr>
                <w:rFonts w:ascii="Times New Roman" w:hAnsi="Times New Roman" w:cs="Times New Roman"/>
                <w:szCs w:val="28"/>
              </w:rPr>
            </w:pPr>
            <w:r>
              <w:rPr>
                <w:rFonts w:ascii="Times New Roman" w:hAnsi="Times New Roman" w:cs="Times New Roman"/>
                <w:szCs w:val="28"/>
              </w:rPr>
              <w:t>30000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w:t>
            </w:r>
            <w:r>
              <w:rPr>
                <w:rFonts w:ascii="Times New Roman" w:hAnsi="Times New Roman" w:cs="Times New Roman"/>
                <w:szCs w:val="28"/>
              </w:rPr>
              <w:t>021年</w:t>
            </w:r>
            <w:r>
              <w:rPr>
                <w:rFonts w:hint="eastAsia" w:ascii="Times New Roman" w:hAnsi="Times New Roman" w:cs="Times New Roman"/>
                <w:szCs w:val="28"/>
              </w:rPr>
              <w:t>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hint="eastAsia" w:ascii="Times New Roman" w:hAnsi="Times New Roman" w:cs="Times New Roman"/>
                <w:szCs w:val="21"/>
              </w:rPr>
            </w:pPr>
            <w:r>
              <w:rPr>
                <w:rFonts w:ascii="Times New Roman" w:hAnsi="Times New Roman" w:cs="Times New Roman"/>
                <w:szCs w:val="21"/>
              </w:rPr>
              <w:t>37</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锦鑫科技厂房建设项目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项目用地约</w:t>
            </w:r>
            <w:r>
              <w:rPr>
                <w:rFonts w:ascii="Times New Roman" w:hAnsi="Times New Roman" w:cs="Times New Roman"/>
                <w:sz w:val="18"/>
                <w:szCs w:val="28"/>
              </w:rPr>
              <w:t>50亩,总建设面积66682.6平方米,用于建设锦鑫高新技术材料的研发与生产基地。</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3</w:t>
            </w:r>
            <w:r>
              <w:rPr>
                <w:rFonts w:ascii="Times New Roman" w:hAnsi="Times New Roman" w:cs="Times New Roman"/>
                <w:szCs w:val="28"/>
              </w:rPr>
              <w:t>0000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w:t>
            </w:r>
            <w:r>
              <w:rPr>
                <w:rFonts w:ascii="Times New Roman" w:hAnsi="Times New Roman" w:cs="Times New Roman"/>
                <w:szCs w:val="28"/>
              </w:rPr>
              <w:t>021年</w:t>
            </w:r>
            <w:r>
              <w:rPr>
                <w:rFonts w:hint="eastAsia" w:ascii="Times New Roman" w:hAnsi="Times New Roman" w:cs="Times New Roman"/>
                <w:szCs w:val="28"/>
              </w:rPr>
              <w:t>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hint="eastAsia" w:ascii="Times New Roman" w:hAnsi="Times New Roman" w:cs="Times New Roman"/>
                <w:szCs w:val="21"/>
              </w:rPr>
            </w:pPr>
            <w:r>
              <w:rPr>
                <w:rFonts w:hint="eastAsia" w:ascii="Times New Roman" w:hAnsi="Times New Roman" w:cs="Times New Roman"/>
                <w:szCs w:val="21"/>
              </w:rPr>
              <w:t>3</w:t>
            </w:r>
            <w:r>
              <w:rPr>
                <w:rFonts w:ascii="Times New Roman" w:hAnsi="Times New Roman" w:cs="Times New Roman"/>
                <w:szCs w:val="21"/>
              </w:rPr>
              <w:t>8</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福州慧宇环保工程有限公司投建工程</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项目占地</w:t>
            </w:r>
            <w:r>
              <w:rPr>
                <w:rFonts w:ascii="Times New Roman" w:hAnsi="Times New Roman" w:cs="Times New Roman"/>
                <w:sz w:val="18"/>
                <w:szCs w:val="28"/>
              </w:rPr>
              <w:t>34亩,总建筑面积46645平方米。建设4栋厂房及配套设施。</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70</w:t>
            </w:r>
            <w:r>
              <w:rPr>
                <w:rFonts w:ascii="Times New Roman" w:hAnsi="Times New Roman" w:cs="Times New Roman"/>
                <w:szCs w:val="28"/>
              </w:rPr>
              <w:t>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w:t>
            </w:r>
            <w:r>
              <w:rPr>
                <w:rFonts w:ascii="Times New Roman" w:hAnsi="Times New Roman" w:cs="Times New Roman"/>
                <w:szCs w:val="28"/>
              </w:rPr>
              <w:t>021年</w:t>
            </w:r>
            <w:r>
              <w:rPr>
                <w:rFonts w:hint="eastAsia" w:ascii="Times New Roman" w:hAnsi="Times New Roman" w:cs="Times New Roman"/>
                <w:szCs w:val="28"/>
              </w:rPr>
              <w:t>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hint="eastAsia" w:ascii="Times New Roman" w:hAnsi="Times New Roman" w:cs="Times New Roman"/>
                <w:szCs w:val="21"/>
              </w:rPr>
            </w:pPr>
            <w:r>
              <w:rPr>
                <w:rFonts w:hint="eastAsia" w:ascii="Times New Roman" w:hAnsi="Times New Roman" w:cs="Times New Roman"/>
                <w:szCs w:val="21"/>
              </w:rPr>
              <w:t>3</w:t>
            </w:r>
            <w:r>
              <w:rPr>
                <w:rFonts w:ascii="Times New Roman" w:hAnsi="Times New Roman" w:cs="Times New Roman"/>
                <w:szCs w:val="21"/>
              </w:rPr>
              <w:t>9</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福建盛富强汽配厂房</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规划在澜澄、岐尾村用地</w:t>
            </w:r>
            <w:r>
              <w:rPr>
                <w:rFonts w:ascii="Times New Roman" w:hAnsi="Times New Roman" w:cs="Times New Roman"/>
                <w:sz w:val="18"/>
                <w:szCs w:val="28"/>
              </w:rPr>
              <w:t>54亩,建筑面积71638平方米,新建厂房及配套用房,主要生产汽车配套传感器等产品。</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5</w:t>
            </w:r>
            <w:r>
              <w:rPr>
                <w:rFonts w:ascii="Times New Roman" w:hAnsi="Times New Roman" w:cs="Times New Roman"/>
                <w:szCs w:val="28"/>
              </w:rPr>
              <w:t>0000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2021年5月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hint="eastAsia" w:ascii="Times New Roman" w:hAnsi="Times New Roman" w:cs="Times New Roman"/>
                <w:szCs w:val="21"/>
              </w:rPr>
            </w:pPr>
            <w:r>
              <w:rPr>
                <w:rFonts w:hint="eastAsia" w:ascii="Times New Roman" w:hAnsi="Times New Roman" w:cs="Times New Roman"/>
                <w:szCs w:val="21"/>
              </w:rPr>
              <w:t>4</w:t>
            </w:r>
            <w:r>
              <w:rPr>
                <w:rFonts w:ascii="Times New Roman" w:hAnsi="Times New Roman" w:cs="Times New Roman"/>
                <w:szCs w:val="21"/>
              </w:rPr>
              <w:t>0</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立洲精益生产线技术改造项目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扩建生产厂房及配套设施</w:t>
            </w:r>
            <w:r>
              <w:rPr>
                <w:rFonts w:ascii="Times New Roman" w:hAnsi="Times New Roman" w:cs="Times New Roman"/>
                <w:sz w:val="18"/>
                <w:szCs w:val="28"/>
              </w:rPr>
              <w:t>,并购置弧形簧热强压机、弧形簧自动检长设备等先进设备。</w:t>
            </w:r>
          </w:p>
        </w:tc>
        <w:tc>
          <w:tcPr>
            <w:tcW w:w="1701" w:type="dxa"/>
            <w:vAlign w:val="center"/>
          </w:tcPr>
          <w:p>
            <w:pPr>
              <w:jc w:val="center"/>
              <w:rPr>
                <w:rFonts w:ascii="Times New Roman" w:hAnsi="Times New Roman" w:cs="Times New Roman"/>
                <w:szCs w:val="28"/>
              </w:rPr>
            </w:pPr>
            <w:r>
              <w:rPr>
                <w:rFonts w:ascii="Times New Roman" w:hAnsi="Times New Roman" w:cs="Times New Roman"/>
                <w:szCs w:val="28"/>
              </w:rPr>
              <w:t>10000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2021年5月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hint="eastAsia" w:ascii="Times New Roman" w:hAnsi="Times New Roman" w:cs="Times New Roman"/>
                <w:szCs w:val="21"/>
              </w:rPr>
            </w:pPr>
            <w:r>
              <w:rPr>
                <w:rFonts w:hint="eastAsia" w:ascii="Times New Roman" w:hAnsi="Times New Roman" w:cs="Times New Roman"/>
                <w:szCs w:val="21"/>
              </w:rPr>
              <w:t>4</w:t>
            </w:r>
            <w:r>
              <w:rPr>
                <w:rFonts w:ascii="Times New Roman" w:hAnsi="Times New Roman" w:cs="Times New Roman"/>
                <w:szCs w:val="21"/>
              </w:rPr>
              <w:t>1</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福州群尚工艺品有限公司厂区建设项目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用地面积</w:t>
            </w:r>
            <w:r>
              <w:rPr>
                <w:rFonts w:ascii="Times New Roman" w:hAnsi="Times New Roman" w:cs="Times New Roman"/>
                <w:sz w:val="18"/>
                <w:szCs w:val="28"/>
              </w:rPr>
              <w:t>14200平方米,总建筑面积32495.1平方米。其中2#厂房已建,1#3#厂房改建。1#厂房为地上八层,地下一层,建筑面积22491.88平方米；3#厂房为地上四层,建筑面积9100.22平方米；2#厂房已建为地上三层,建筑面积903平方米。</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10</w:t>
            </w:r>
            <w:r>
              <w:rPr>
                <w:rFonts w:ascii="Times New Roman" w:hAnsi="Times New Roman" w:cs="Times New Roman"/>
                <w:szCs w:val="28"/>
              </w:rPr>
              <w:t>430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2021年5月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hint="eastAsia" w:ascii="Times New Roman" w:hAnsi="Times New Roman" w:cs="Times New Roman"/>
                <w:szCs w:val="21"/>
              </w:rPr>
            </w:pPr>
            <w:r>
              <w:rPr>
                <w:rFonts w:hint="eastAsia" w:ascii="Times New Roman" w:hAnsi="Times New Roman" w:cs="Times New Roman"/>
                <w:szCs w:val="21"/>
              </w:rPr>
              <w:t>4</w:t>
            </w:r>
            <w:r>
              <w:rPr>
                <w:rFonts w:ascii="Times New Roman" w:hAnsi="Times New Roman" w:cs="Times New Roman"/>
                <w:szCs w:val="21"/>
              </w:rPr>
              <w:t>2</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福建艾维尔厂房建设</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规划用地面积</w:t>
            </w:r>
            <w:r>
              <w:rPr>
                <w:rFonts w:ascii="Times New Roman" w:hAnsi="Times New Roman" w:cs="Times New Roman"/>
                <w:sz w:val="18"/>
                <w:szCs w:val="28"/>
              </w:rPr>
              <w:t>91亩,总建筑面积约12万平方米,用于建设生产家居用品厂房项目及配套附属设施。</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3</w:t>
            </w:r>
            <w:r>
              <w:rPr>
                <w:rFonts w:ascii="Times New Roman" w:hAnsi="Times New Roman" w:cs="Times New Roman"/>
                <w:szCs w:val="28"/>
              </w:rPr>
              <w:t>6000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2021年5月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ascii="Times New Roman" w:hAnsi="Times New Roman" w:cs="Times New Roman"/>
                <w:szCs w:val="21"/>
              </w:rPr>
            </w:pPr>
            <w:r>
              <w:rPr>
                <w:rFonts w:ascii="Times New Roman" w:hAnsi="Times New Roman" w:cs="Times New Roman"/>
                <w:szCs w:val="21"/>
              </w:rPr>
              <w:t>43</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福州川盛鞋业改扩建项目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本项目建筑面积</w:t>
            </w:r>
            <w:r>
              <w:rPr>
                <w:rFonts w:ascii="Times New Roman" w:hAnsi="Times New Roman" w:cs="Times New Roman"/>
                <w:sz w:val="18"/>
                <w:szCs w:val="28"/>
              </w:rPr>
              <w:t>27530平方米,其中扩建面积13500面积,引进先进成鞋装配设备、环保设备（主要包括胶粘工艺设备、注塑工艺设备、线缝工艺设备、模压与硫化工艺设备等）用于替换部分老旧设备,建设成鞋生产线。</w:t>
            </w:r>
          </w:p>
        </w:tc>
        <w:tc>
          <w:tcPr>
            <w:tcW w:w="1701" w:type="dxa"/>
            <w:vAlign w:val="center"/>
          </w:tcPr>
          <w:p>
            <w:pPr>
              <w:jc w:val="center"/>
              <w:rPr>
                <w:rFonts w:ascii="Times New Roman" w:hAnsi="Times New Roman" w:cs="Times New Roman"/>
                <w:szCs w:val="28"/>
              </w:rPr>
            </w:pPr>
            <w:r>
              <w:rPr>
                <w:rFonts w:ascii="Times New Roman" w:hAnsi="Times New Roman" w:cs="Times New Roman"/>
                <w:szCs w:val="28"/>
              </w:rPr>
              <w:t>20949</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w:t>
            </w:r>
            <w:r>
              <w:rPr>
                <w:rFonts w:ascii="Times New Roman" w:hAnsi="Times New Roman" w:cs="Times New Roman"/>
                <w:szCs w:val="28"/>
              </w:rPr>
              <w:t>021年</w:t>
            </w:r>
            <w:r>
              <w:rPr>
                <w:rFonts w:hint="eastAsia" w:ascii="Times New Roman" w:hAnsi="Times New Roman" w:cs="Times New Roman"/>
                <w:szCs w:val="28"/>
              </w:rPr>
              <w:t>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hint="eastAsia" w:ascii="Times New Roman" w:hAnsi="Times New Roman" w:cs="Times New Roman"/>
                <w:szCs w:val="21"/>
              </w:rPr>
            </w:pPr>
            <w:r>
              <w:rPr>
                <w:rFonts w:hint="eastAsia" w:ascii="Times New Roman" w:hAnsi="Times New Roman" w:cs="Times New Roman"/>
                <w:szCs w:val="21"/>
              </w:rPr>
              <w:t>4</w:t>
            </w:r>
            <w:r>
              <w:rPr>
                <w:rFonts w:ascii="Times New Roman" w:hAnsi="Times New Roman" w:cs="Times New Roman"/>
                <w:szCs w:val="21"/>
              </w:rPr>
              <w:t>4</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福建海越环境系统工程有限公司厂房建设项目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项目征用祥谦镇、青口镇土地</w:t>
            </w:r>
            <w:r>
              <w:rPr>
                <w:rFonts w:ascii="Times New Roman" w:hAnsi="Times New Roman" w:cs="Times New Roman"/>
                <w:sz w:val="18"/>
                <w:szCs w:val="28"/>
              </w:rPr>
              <w:t>1003亩,建设厂房及配套设施,主要生产特种汽车配件等。</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3</w:t>
            </w:r>
            <w:r>
              <w:rPr>
                <w:rFonts w:ascii="Times New Roman" w:hAnsi="Times New Roman" w:cs="Times New Roman"/>
                <w:szCs w:val="28"/>
              </w:rPr>
              <w:t>1650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w:t>
            </w:r>
            <w:r>
              <w:rPr>
                <w:rFonts w:ascii="Times New Roman" w:hAnsi="Times New Roman" w:cs="Times New Roman"/>
                <w:szCs w:val="28"/>
              </w:rPr>
              <w:t>021年</w:t>
            </w:r>
            <w:r>
              <w:rPr>
                <w:rFonts w:hint="eastAsia" w:ascii="Times New Roman" w:hAnsi="Times New Roman" w:cs="Times New Roman"/>
                <w:szCs w:val="28"/>
              </w:rPr>
              <w:t>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hint="eastAsia" w:ascii="Times New Roman" w:hAnsi="Times New Roman" w:cs="Times New Roman"/>
                <w:szCs w:val="21"/>
              </w:rPr>
            </w:pPr>
            <w:r>
              <w:rPr>
                <w:rFonts w:hint="eastAsia" w:ascii="Times New Roman" w:hAnsi="Times New Roman" w:cs="Times New Roman"/>
                <w:szCs w:val="21"/>
              </w:rPr>
              <w:t>4</w:t>
            </w:r>
            <w:r>
              <w:rPr>
                <w:rFonts w:ascii="Times New Roman" w:hAnsi="Times New Roman" w:cs="Times New Roman"/>
                <w:szCs w:val="21"/>
              </w:rPr>
              <w:t>5</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中澳科技二期项目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规划用地约</w:t>
            </w:r>
            <w:r>
              <w:rPr>
                <w:rFonts w:ascii="Times New Roman" w:hAnsi="Times New Roman" w:cs="Times New Roman"/>
                <w:sz w:val="18"/>
                <w:szCs w:val="28"/>
              </w:rPr>
              <w:t>20亩,主要从事汽车金属制品生产、销售。</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2</w:t>
            </w:r>
            <w:r>
              <w:rPr>
                <w:rFonts w:ascii="Times New Roman" w:hAnsi="Times New Roman" w:cs="Times New Roman"/>
                <w:szCs w:val="28"/>
              </w:rPr>
              <w:t>4600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2021年4月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hint="eastAsia" w:ascii="Times New Roman" w:hAnsi="Times New Roman" w:cs="Times New Roman"/>
                <w:szCs w:val="21"/>
              </w:rPr>
            </w:pPr>
            <w:r>
              <w:rPr>
                <w:rFonts w:hint="eastAsia" w:ascii="Times New Roman" w:hAnsi="Times New Roman" w:cs="Times New Roman"/>
                <w:szCs w:val="21"/>
              </w:rPr>
              <w:t>4</w:t>
            </w:r>
            <w:r>
              <w:rPr>
                <w:rFonts w:ascii="Times New Roman" w:hAnsi="Times New Roman" w:cs="Times New Roman"/>
                <w:szCs w:val="21"/>
              </w:rPr>
              <w:t>6</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福建省凤安桥新建厂房项目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占地面积约</w:t>
            </w:r>
            <w:r>
              <w:rPr>
                <w:rFonts w:ascii="Times New Roman" w:hAnsi="Times New Roman" w:cs="Times New Roman"/>
                <w:sz w:val="18"/>
                <w:szCs w:val="28"/>
              </w:rPr>
              <w:t>100亩,主要建筑面积47467平方米,用于建设厂房及配套设施,建成后主要生产汽车悬架等汽车配件。</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1</w:t>
            </w:r>
            <w:r>
              <w:rPr>
                <w:rFonts w:ascii="Times New Roman" w:hAnsi="Times New Roman" w:cs="Times New Roman"/>
                <w:szCs w:val="28"/>
              </w:rPr>
              <w:t>6000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2021年4月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hint="eastAsia" w:ascii="Times New Roman" w:hAnsi="Times New Roman" w:cs="Times New Roman"/>
                <w:szCs w:val="21"/>
              </w:rPr>
            </w:pPr>
            <w:r>
              <w:rPr>
                <w:rFonts w:hint="eastAsia" w:ascii="Times New Roman" w:hAnsi="Times New Roman" w:cs="Times New Roman"/>
                <w:szCs w:val="21"/>
              </w:rPr>
              <w:t>4</w:t>
            </w:r>
            <w:r>
              <w:rPr>
                <w:rFonts w:ascii="Times New Roman" w:hAnsi="Times New Roman" w:cs="Times New Roman"/>
                <w:szCs w:val="21"/>
              </w:rPr>
              <w:t>7</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永新工艺品有限公司厂房建设项目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在原有规划红线范围内</w:t>
            </w:r>
            <w:r>
              <w:rPr>
                <w:rFonts w:ascii="Times New Roman" w:hAnsi="Times New Roman" w:cs="Times New Roman"/>
                <w:sz w:val="18"/>
                <w:szCs w:val="28"/>
              </w:rPr>
              <w:t>,建设10000平方米厂房,用于生工艺品的生产与研发。</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1</w:t>
            </w:r>
            <w:r>
              <w:rPr>
                <w:rFonts w:ascii="Times New Roman" w:hAnsi="Times New Roman" w:cs="Times New Roman"/>
                <w:szCs w:val="28"/>
              </w:rPr>
              <w:t>0200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2021年4月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ascii="Times New Roman" w:hAnsi="Times New Roman" w:cs="Times New Roman"/>
                <w:szCs w:val="21"/>
              </w:rPr>
            </w:pPr>
            <w:r>
              <w:rPr>
                <w:rFonts w:ascii="Times New Roman" w:hAnsi="Times New Roman" w:cs="Times New Roman"/>
                <w:szCs w:val="21"/>
              </w:rPr>
              <w:t>48</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福州市亚特隆钢化玻璃有限公司玻璃生产线项目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租用福州易建工业有限公司</w:t>
            </w:r>
            <w:r>
              <w:rPr>
                <w:rFonts w:ascii="Times New Roman" w:hAnsi="Times New Roman" w:cs="Times New Roman"/>
                <w:sz w:val="18"/>
                <w:szCs w:val="28"/>
              </w:rPr>
              <w:t>7#厂房面积5136.6平方米,购买配套预处理设备、磨头直线机、斜边机、基础型异型机、钻孔机、清洗机等先进设备。建成年产130万平方米钢化玻璃生产线一条,形成年产能新增13000万元。</w:t>
            </w:r>
          </w:p>
        </w:tc>
        <w:tc>
          <w:tcPr>
            <w:tcW w:w="1701" w:type="dxa"/>
            <w:vAlign w:val="center"/>
          </w:tcPr>
          <w:p>
            <w:pPr>
              <w:jc w:val="center"/>
              <w:rPr>
                <w:rFonts w:ascii="Times New Roman" w:hAnsi="Times New Roman" w:cs="Times New Roman"/>
                <w:szCs w:val="28"/>
              </w:rPr>
            </w:pPr>
            <w:r>
              <w:rPr>
                <w:rFonts w:ascii="Times New Roman" w:hAnsi="Times New Roman" w:cs="Times New Roman"/>
                <w:szCs w:val="28"/>
              </w:rPr>
              <w:t>21000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w:t>
            </w:r>
            <w:r>
              <w:rPr>
                <w:rFonts w:ascii="Times New Roman" w:hAnsi="Times New Roman" w:cs="Times New Roman"/>
                <w:szCs w:val="28"/>
              </w:rPr>
              <w:t>021年</w:t>
            </w:r>
            <w:r>
              <w:rPr>
                <w:rFonts w:hint="eastAsia" w:ascii="Times New Roman" w:hAnsi="Times New Roman" w:cs="Times New Roman"/>
                <w:szCs w:val="28"/>
              </w:rPr>
              <w:t>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ascii="Times New Roman" w:hAnsi="Times New Roman" w:cs="Times New Roman"/>
                <w:szCs w:val="21"/>
              </w:rPr>
            </w:pPr>
            <w:r>
              <w:rPr>
                <w:rFonts w:ascii="Times New Roman" w:hAnsi="Times New Roman" w:cs="Times New Roman"/>
                <w:szCs w:val="21"/>
              </w:rPr>
              <w:t>49</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福州市力夫制造精密模具项目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项目利用自有厂房面积</w:t>
            </w:r>
            <w:r>
              <w:rPr>
                <w:rFonts w:ascii="Times New Roman" w:hAnsi="Times New Roman" w:cs="Times New Roman"/>
                <w:sz w:val="18"/>
                <w:szCs w:val="28"/>
              </w:rPr>
              <w:t>8210平方米,购入数控CNC、数控EDM等设备建成年产30万套汽车精密模具生产线,通过技术改造提升模具精确度。</w:t>
            </w:r>
          </w:p>
        </w:tc>
        <w:tc>
          <w:tcPr>
            <w:tcW w:w="1701" w:type="dxa"/>
            <w:vAlign w:val="center"/>
          </w:tcPr>
          <w:p>
            <w:pPr>
              <w:jc w:val="center"/>
              <w:rPr>
                <w:rFonts w:hint="eastAsia" w:ascii="Times New Roman" w:hAnsi="Times New Roman" w:cs="Times New Roman"/>
                <w:szCs w:val="28"/>
              </w:rPr>
            </w:pPr>
            <w:r>
              <w:rPr>
                <w:rFonts w:hint="eastAsia" w:ascii="Times New Roman" w:hAnsi="Times New Roman" w:cs="Times New Roman"/>
                <w:szCs w:val="28"/>
              </w:rPr>
              <w:t>20037</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w:t>
            </w:r>
            <w:r>
              <w:rPr>
                <w:rFonts w:ascii="Times New Roman" w:hAnsi="Times New Roman" w:cs="Times New Roman"/>
                <w:szCs w:val="28"/>
              </w:rPr>
              <w:t>021年</w:t>
            </w:r>
            <w:r>
              <w:rPr>
                <w:rFonts w:hint="eastAsia" w:ascii="Times New Roman" w:hAnsi="Times New Roman" w:cs="Times New Roman"/>
                <w:szCs w:val="28"/>
              </w:rPr>
              <w:t>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ascii="Times New Roman" w:hAnsi="Times New Roman" w:cs="Times New Roman"/>
                <w:szCs w:val="21"/>
              </w:rPr>
            </w:pPr>
            <w:r>
              <w:rPr>
                <w:rFonts w:ascii="Times New Roman" w:hAnsi="Times New Roman" w:cs="Times New Roman"/>
                <w:szCs w:val="21"/>
              </w:rPr>
              <w:t>50</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福州市逸丰鞋业全自动雨鞋生产线项目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项目利用现有厂房面积</w:t>
            </w:r>
            <w:r>
              <w:rPr>
                <w:rFonts w:ascii="Times New Roman" w:hAnsi="Times New Roman" w:cs="Times New Roman"/>
                <w:sz w:val="18"/>
                <w:szCs w:val="28"/>
              </w:rPr>
              <w:t>4200平方米,购入架空热定型机、冷冻机、杀菌机及其前中后段流水线建成全自动雨鞋生产线,预计可新增年产能60万双。</w:t>
            </w:r>
          </w:p>
        </w:tc>
        <w:tc>
          <w:tcPr>
            <w:tcW w:w="1701" w:type="dxa"/>
            <w:vAlign w:val="center"/>
          </w:tcPr>
          <w:p>
            <w:pPr>
              <w:jc w:val="center"/>
              <w:rPr>
                <w:rFonts w:ascii="Times New Roman" w:hAnsi="Times New Roman" w:cs="Times New Roman"/>
                <w:szCs w:val="28"/>
              </w:rPr>
            </w:pPr>
            <w:r>
              <w:rPr>
                <w:rFonts w:ascii="Times New Roman" w:hAnsi="Times New Roman" w:cs="Times New Roman"/>
                <w:szCs w:val="28"/>
              </w:rPr>
              <w:t>10077</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w:t>
            </w:r>
            <w:r>
              <w:rPr>
                <w:rFonts w:ascii="Times New Roman" w:hAnsi="Times New Roman" w:cs="Times New Roman"/>
                <w:szCs w:val="28"/>
              </w:rPr>
              <w:t>021年</w:t>
            </w:r>
            <w:r>
              <w:rPr>
                <w:rFonts w:hint="eastAsia" w:ascii="Times New Roman" w:hAnsi="Times New Roman" w:cs="Times New Roman"/>
                <w:szCs w:val="28"/>
              </w:rPr>
              <w:t>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ascii="Times New Roman" w:hAnsi="Times New Roman" w:cs="Times New Roman"/>
                <w:szCs w:val="21"/>
              </w:rPr>
            </w:pPr>
            <w:r>
              <w:rPr>
                <w:rFonts w:ascii="Times New Roman" w:hAnsi="Times New Roman" w:cs="Times New Roman"/>
                <w:szCs w:val="21"/>
              </w:rPr>
              <w:t>51</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福州新光上汽车零部件有限公司汽车座椅焊接生产线自动化技术改造项目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项目利用现有厂房面积</w:t>
            </w:r>
            <w:r>
              <w:rPr>
                <w:rFonts w:ascii="Times New Roman" w:hAnsi="Times New Roman" w:cs="Times New Roman"/>
                <w:sz w:val="18"/>
                <w:szCs w:val="28"/>
              </w:rPr>
              <w:t>7000平方米,购入OTC机器人,治具线条码、防呆系统等先进设备建成汽车座椅自动化焊接生产线,预计可新增年产能18万件。</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1</w:t>
            </w:r>
            <w:r>
              <w:rPr>
                <w:rFonts w:ascii="Times New Roman" w:hAnsi="Times New Roman" w:cs="Times New Roman"/>
                <w:szCs w:val="28"/>
              </w:rPr>
              <w:t>0050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w:t>
            </w:r>
            <w:r>
              <w:rPr>
                <w:rFonts w:ascii="Times New Roman" w:hAnsi="Times New Roman" w:cs="Times New Roman"/>
                <w:szCs w:val="28"/>
              </w:rPr>
              <w:t>021年</w:t>
            </w:r>
            <w:r>
              <w:rPr>
                <w:rFonts w:hint="eastAsia" w:ascii="Times New Roman" w:hAnsi="Times New Roman" w:cs="Times New Roman"/>
                <w:szCs w:val="28"/>
              </w:rPr>
              <w:t>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ascii="Times New Roman" w:hAnsi="Times New Roman" w:cs="Times New Roman"/>
                <w:szCs w:val="21"/>
              </w:rPr>
            </w:pPr>
            <w:r>
              <w:rPr>
                <w:rFonts w:ascii="Times New Roman" w:hAnsi="Times New Roman" w:cs="Times New Roman"/>
                <w:szCs w:val="21"/>
              </w:rPr>
              <w:t>52</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福州昌世工艺品有限公司厂房及配套设施建设项目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主要建筑面积</w:t>
            </w:r>
            <w:r>
              <w:rPr>
                <w:rFonts w:ascii="Times New Roman" w:hAnsi="Times New Roman" w:cs="Times New Roman"/>
                <w:sz w:val="18"/>
                <w:szCs w:val="28"/>
              </w:rPr>
              <w:t>37224平方米,建设厂房及配套设施。用于生产竹、草、木、藤、铝、铜、铁、陶工艺品及家具、箱包制造。</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10</w:t>
            </w:r>
            <w:r>
              <w:rPr>
                <w:rFonts w:ascii="Times New Roman" w:hAnsi="Times New Roman" w:cs="Times New Roman"/>
                <w:szCs w:val="28"/>
              </w:rPr>
              <w:t>500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w:t>
            </w:r>
            <w:r>
              <w:rPr>
                <w:rFonts w:ascii="Times New Roman" w:hAnsi="Times New Roman" w:cs="Times New Roman"/>
                <w:szCs w:val="28"/>
              </w:rPr>
              <w:t>021年</w:t>
            </w:r>
            <w:r>
              <w:rPr>
                <w:rFonts w:hint="eastAsia" w:ascii="Times New Roman" w:hAnsi="Times New Roman" w:cs="Times New Roman"/>
                <w:szCs w:val="28"/>
              </w:rPr>
              <w:t>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ascii="Times New Roman" w:hAnsi="Times New Roman" w:cs="Times New Roman"/>
                <w:szCs w:val="21"/>
              </w:rPr>
            </w:pPr>
            <w:r>
              <w:rPr>
                <w:rFonts w:ascii="Times New Roman" w:hAnsi="Times New Roman" w:cs="Times New Roman"/>
                <w:szCs w:val="21"/>
              </w:rPr>
              <w:t>53</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海通星升汽车内饰品及相关辅件生产项目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总建筑面积</w:t>
            </w:r>
            <w:r>
              <w:rPr>
                <w:rFonts w:ascii="Times New Roman" w:hAnsi="Times New Roman" w:cs="Times New Roman"/>
                <w:sz w:val="18"/>
                <w:szCs w:val="28"/>
              </w:rPr>
              <w:t>150131平方米,建设厂房、仓库及汽车内饰品、汽车配铁件、汽车电机等生产线,建成后年产1500万套汽车内饰品及相关辅件。</w:t>
            </w:r>
          </w:p>
        </w:tc>
        <w:tc>
          <w:tcPr>
            <w:tcW w:w="1701" w:type="dxa"/>
            <w:vAlign w:val="center"/>
          </w:tcPr>
          <w:p>
            <w:pPr>
              <w:jc w:val="center"/>
              <w:rPr>
                <w:rFonts w:ascii="Times New Roman" w:hAnsi="Times New Roman" w:cs="Times New Roman"/>
                <w:szCs w:val="28"/>
              </w:rPr>
            </w:pPr>
            <w:r>
              <w:rPr>
                <w:rFonts w:ascii="Times New Roman" w:hAnsi="Times New Roman" w:cs="Times New Roman"/>
                <w:szCs w:val="28"/>
              </w:rPr>
              <w:t>57414</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2021年3月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ascii="Times New Roman" w:hAnsi="Times New Roman" w:cs="Times New Roman"/>
                <w:szCs w:val="21"/>
              </w:rPr>
            </w:pPr>
            <w:r>
              <w:rPr>
                <w:rFonts w:ascii="Times New Roman" w:hAnsi="Times New Roman" w:cs="Times New Roman"/>
                <w:szCs w:val="21"/>
              </w:rPr>
              <w:t>54</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福建冠闽汽配有限公司厂房建设项目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规划用地</w:t>
            </w:r>
            <w:r>
              <w:rPr>
                <w:rFonts w:ascii="Times New Roman" w:hAnsi="Times New Roman" w:cs="Times New Roman"/>
                <w:sz w:val="18"/>
                <w:szCs w:val="28"/>
              </w:rPr>
              <w:t>6672平方米,总建筑面积20977平方。主要建设厂房及配套设施。</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10</w:t>
            </w:r>
            <w:r>
              <w:rPr>
                <w:rFonts w:ascii="Times New Roman" w:hAnsi="Times New Roman" w:cs="Times New Roman"/>
                <w:szCs w:val="28"/>
              </w:rPr>
              <w:t>000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2021年3月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hint="eastAsia" w:ascii="Times New Roman" w:hAnsi="Times New Roman" w:cs="Times New Roman"/>
                <w:szCs w:val="21"/>
              </w:rPr>
            </w:pPr>
            <w:r>
              <w:rPr>
                <w:rFonts w:hint="eastAsia" w:ascii="Times New Roman" w:hAnsi="Times New Roman" w:cs="Times New Roman"/>
                <w:szCs w:val="21"/>
              </w:rPr>
              <w:t>5</w:t>
            </w:r>
            <w:r>
              <w:rPr>
                <w:rFonts w:ascii="Times New Roman" w:hAnsi="Times New Roman" w:cs="Times New Roman"/>
                <w:szCs w:val="21"/>
              </w:rPr>
              <w:t>5</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闽侯县永升工艺制品有限公司新厂区项目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规划用地</w:t>
            </w:r>
            <w:r>
              <w:rPr>
                <w:rFonts w:ascii="Times New Roman" w:hAnsi="Times New Roman" w:cs="Times New Roman"/>
                <w:sz w:val="18"/>
                <w:szCs w:val="28"/>
              </w:rPr>
              <w:t>25亩。</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80</w:t>
            </w:r>
            <w:r>
              <w:rPr>
                <w:rFonts w:ascii="Times New Roman" w:hAnsi="Times New Roman" w:cs="Times New Roman"/>
                <w:szCs w:val="28"/>
              </w:rPr>
              <w:t>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2021年3月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ascii="Times New Roman" w:hAnsi="Times New Roman" w:cs="Times New Roman"/>
                <w:szCs w:val="21"/>
              </w:rPr>
            </w:pPr>
            <w:r>
              <w:rPr>
                <w:rFonts w:ascii="Times New Roman" w:hAnsi="Times New Roman" w:cs="Times New Roman"/>
                <w:szCs w:val="21"/>
              </w:rPr>
              <w:t>56</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福州福信昌橡塑有限公司技改项目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自有厂房</w:t>
            </w:r>
            <w:r>
              <w:rPr>
                <w:rFonts w:ascii="Times New Roman" w:hAnsi="Times New Roman" w:cs="Times New Roman"/>
                <w:sz w:val="18"/>
                <w:szCs w:val="28"/>
              </w:rPr>
              <w:t>9675平方米,引进翻转式密炼机（55L),18寸开放式炼胶机（含油压翻胶装置）X（s)K 610*2030,前棍筒是周边钻孔及其环保处理设备,用于提升生产设备。预计年产橡塑制品80万套。</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1</w:t>
            </w:r>
            <w:r>
              <w:rPr>
                <w:rFonts w:ascii="Times New Roman" w:hAnsi="Times New Roman" w:cs="Times New Roman"/>
                <w:szCs w:val="28"/>
              </w:rPr>
              <w:t>0621</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20</w:t>
            </w:r>
            <w:r>
              <w:rPr>
                <w:rFonts w:ascii="Times New Roman" w:hAnsi="Times New Roman" w:cs="Times New Roman"/>
                <w:szCs w:val="28"/>
              </w:rPr>
              <w:t>21年</w:t>
            </w:r>
            <w:r>
              <w:rPr>
                <w:rFonts w:hint="eastAsia" w:ascii="Times New Roman" w:hAnsi="Times New Roman" w:cs="Times New Roman"/>
                <w:szCs w:val="28"/>
              </w:rPr>
              <w:t>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ascii="Times New Roman" w:hAnsi="Times New Roman" w:cs="Times New Roman"/>
                <w:szCs w:val="21"/>
              </w:rPr>
            </w:pPr>
            <w:r>
              <w:rPr>
                <w:rFonts w:ascii="Times New Roman" w:hAnsi="Times New Roman" w:cs="Times New Roman"/>
                <w:szCs w:val="21"/>
              </w:rPr>
              <w:t>57</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豪峰金属制品建设项目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总建筑面积</w:t>
            </w:r>
            <w:r>
              <w:rPr>
                <w:rFonts w:ascii="Times New Roman" w:hAnsi="Times New Roman" w:cs="Times New Roman"/>
                <w:sz w:val="18"/>
                <w:szCs w:val="28"/>
              </w:rPr>
              <w:t>28507.6平方米,建设厂房及配套设施,并购入高频焊管等设备,用于生产金属配件、汽车座椅配件等。</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7</w:t>
            </w:r>
            <w:r>
              <w:rPr>
                <w:rFonts w:ascii="Times New Roman" w:hAnsi="Times New Roman" w:cs="Times New Roman"/>
                <w:szCs w:val="28"/>
              </w:rPr>
              <w:t>000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w:t>
            </w:r>
            <w:r>
              <w:rPr>
                <w:rFonts w:ascii="Times New Roman" w:hAnsi="Times New Roman" w:cs="Times New Roman"/>
                <w:szCs w:val="28"/>
              </w:rPr>
              <w:t>021年</w:t>
            </w:r>
            <w:r>
              <w:rPr>
                <w:rFonts w:hint="eastAsia" w:ascii="Times New Roman" w:hAnsi="Times New Roman" w:cs="Times New Roman"/>
                <w:szCs w:val="28"/>
              </w:rPr>
              <w:t>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ascii="Times New Roman" w:hAnsi="Times New Roman" w:cs="Times New Roman"/>
                <w:szCs w:val="21"/>
              </w:rPr>
            </w:pPr>
            <w:r>
              <w:rPr>
                <w:rFonts w:ascii="Times New Roman" w:hAnsi="Times New Roman" w:cs="Times New Roman"/>
                <w:szCs w:val="21"/>
              </w:rPr>
              <w:t>58</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鸿尾利达编织厂厂房建设项目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新建厂房</w:t>
            </w:r>
            <w:r>
              <w:rPr>
                <w:rFonts w:ascii="Times New Roman" w:hAnsi="Times New Roman" w:cs="Times New Roman"/>
                <w:sz w:val="18"/>
                <w:szCs w:val="28"/>
              </w:rPr>
              <w:t>19200平方米,用于生产竹、木、草等工艺品的生产。</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544</w:t>
            </w:r>
            <w:r>
              <w:rPr>
                <w:rFonts w:ascii="Times New Roman" w:hAnsi="Times New Roman" w:cs="Times New Roman"/>
                <w:szCs w:val="28"/>
              </w:rPr>
              <w:t>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w:t>
            </w:r>
            <w:r>
              <w:rPr>
                <w:rFonts w:ascii="Times New Roman" w:hAnsi="Times New Roman" w:cs="Times New Roman"/>
                <w:szCs w:val="28"/>
              </w:rPr>
              <w:t>021年</w:t>
            </w:r>
            <w:r>
              <w:rPr>
                <w:rFonts w:hint="eastAsia" w:ascii="Times New Roman" w:hAnsi="Times New Roman" w:cs="Times New Roman"/>
                <w:szCs w:val="28"/>
              </w:rPr>
              <w:t>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ascii="Times New Roman" w:hAnsi="Times New Roman" w:cs="Times New Roman"/>
                <w:szCs w:val="21"/>
              </w:rPr>
            </w:pPr>
            <w:r>
              <w:rPr>
                <w:rFonts w:ascii="Times New Roman" w:hAnsi="Times New Roman" w:cs="Times New Roman"/>
                <w:szCs w:val="21"/>
              </w:rPr>
              <w:t>59</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闽侯海丝时尚居艺小镇</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规划面积</w:t>
            </w:r>
            <w:r>
              <w:rPr>
                <w:rFonts w:ascii="Times New Roman" w:hAnsi="Times New Roman" w:cs="Times New Roman"/>
                <w:sz w:val="18"/>
                <w:szCs w:val="28"/>
              </w:rPr>
              <w:t>3.06平方公里,主要建筑面积618153平方米,小镇规划建设五个功能区：居艺特色产业功能区、双创基地及产业提升功能区、海丝居艺文化功能区、居艺社区功能区、居艺山水旅游功能区。</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5</w:t>
            </w:r>
            <w:r>
              <w:rPr>
                <w:rFonts w:ascii="Times New Roman" w:hAnsi="Times New Roman" w:cs="Times New Roman"/>
                <w:szCs w:val="28"/>
              </w:rPr>
              <w:t>47000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2</w:t>
            </w:r>
            <w:r>
              <w:rPr>
                <w:rFonts w:ascii="Times New Roman" w:hAnsi="Times New Roman" w:cs="Times New Roman"/>
                <w:szCs w:val="28"/>
              </w:rPr>
              <w:t>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ascii="Times New Roman" w:hAnsi="Times New Roman" w:cs="Times New Roman"/>
                <w:szCs w:val="21"/>
              </w:rPr>
            </w:pPr>
            <w:r>
              <w:rPr>
                <w:rFonts w:ascii="Times New Roman" w:hAnsi="Times New Roman" w:cs="Times New Roman"/>
                <w:szCs w:val="21"/>
              </w:rPr>
              <w:t>60</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东台高端新材料产业园项目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完成东台高端新材料产业园</w:t>
            </w:r>
            <w:r>
              <w:rPr>
                <w:rFonts w:ascii="Times New Roman" w:hAnsi="Times New Roman" w:cs="Times New Roman"/>
                <w:sz w:val="18"/>
                <w:szCs w:val="28"/>
              </w:rPr>
              <w:t>1550亩、25.6万平方米征迁工作；开展西山片区“七通一平”土地平整；服务祥鑫铝业项目,配合管委会开展东台大道延伸段、110KV变电站、东台河改造等项目实施。</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6</w:t>
            </w:r>
            <w:r>
              <w:rPr>
                <w:rFonts w:ascii="Times New Roman" w:hAnsi="Times New Roman" w:cs="Times New Roman"/>
                <w:szCs w:val="28"/>
              </w:rPr>
              <w:t>00000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ascii="Times New Roman" w:hAnsi="Times New Roman" w:cs="Times New Roman"/>
                <w:szCs w:val="21"/>
              </w:rPr>
            </w:pPr>
            <w:r>
              <w:rPr>
                <w:rFonts w:ascii="Times New Roman" w:hAnsi="Times New Roman" w:cs="Times New Roman"/>
                <w:szCs w:val="21"/>
              </w:rPr>
              <w:t>61</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福建蓝建集团汽车和印制线路板材料项目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项目计划选址青口镇东台高端材料产业园</w:t>
            </w:r>
            <w:r>
              <w:rPr>
                <w:rFonts w:ascii="Times New Roman" w:hAnsi="Times New Roman" w:cs="Times New Roman"/>
                <w:sz w:val="18"/>
                <w:szCs w:val="28"/>
              </w:rPr>
              <w:t>,用地约200亩,建设（打造）蓝建PCB工业园。</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5</w:t>
            </w:r>
            <w:r>
              <w:rPr>
                <w:rFonts w:ascii="Times New Roman" w:hAnsi="Times New Roman" w:cs="Times New Roman"/>
                <w:szCs w:val="28"/>
              </w:rPr>
              <w:t>00000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ascii="Times New Roman" w:hAnsi="Times New Roman" w:cs="Times New Roman"/>
                <w:szCs w:val="21"/>
              </w:rPr>
            </w:pPr>
            <w:r>
              <w:rPr>
                <w:rFonts w:ascii="Times New Roman" w:hAnsi="Times New Roman" w:cs="Times New Roman"/>
                <w:szCs w:val="21"/>
              </w:rPr>
              <w:t>62</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闽侯县兰圃产业园项目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规划用地面积</w:t>
            </w:r>
            <w:r>
              <w:rPr>
                <w:rFonts w:ascii="Times New Roman" w:hAnsi="Times New Roman" w:cs="Times New Roman"/>
                <w:sz w:val="18"/>
                <w:szCs w:val="28"/>
              </w:rPr>
              <w:t>683.81亩,总建筑面积约20万平方米,主要建设生产厂房、研发中心、办公大楼、产品展示大厅、人才培训中心、生活设施等。</w:t>
            </w:r>
          </w:p>
        </w:tc>
        <w:tc>
          <w:tcPr>
            <w:tcW w:w="1701" w:type="dxa"/>
            <w:vAlign w:val="center"/>
          </w:tcPr>
          <w:p>
            <w:pPr>
              <w:jc w:val="center"/>
              <w:rPr>
                <w:rFonts w:ascii="Times New Roman" w:hAnsi="Times New Roman" w:cs="Times New Roman"/>
                <w:szCs w:val="28"/>
              </w:rPr>
            </w:pPr>
            <w:r>
              <w:rPr>
                <w:rFonts w:ascii="Times New Roman" w:hAnsi="Times New Roman" w:cs="Times New Roman"/>
                <w:szCs w:val="28"/>
              </w:rPr>
              <w:t>200000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ascii="Times New Roman" w:hAnsi="Times New Roman" w:cs="Times New Roman"/>
                <w:szCs w:val="21"/>
              </w:rPr>
            </w:pPr>
            <w:r>
              <w:rPr>
                <w:rFonts w:ascii="Times New Roman" w:hAnsi="Times New Roman" w:cs="Times New Roman"/>
                <w:szCs w:val="21"/>
              </w:rPr>
              <w:t>63</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新华康座椅厂区建设项目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规划用地约</w:t>
            </w:r>
            <w:r>
              <w:rPr>
                <w:rFonts w:ascii="Times New Roman" w:hAnsi="Times New Roman" w:cs="Times New Roman"/>
                <w:sz w:val="18"/>
                <w:szCs w:val="28"/>
              </w:rPr>
              <w:t>100亩,主要从事汽车座椅生产制造。</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5</w:t>
            </w:r>
            <w:r>
              <w:rPr>
                <w:rFonts w:ascii="Times New Roman" w:hAnsi="Times New Roman" w:cs="Times New Roman"/>
                <w:szCs w:val="28"/>
              </w:rPr>
              <w:t>0000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ascii="Times New Roman" w:hAnsi="Times New Roman" w:cs="Times New Roman"/>
                <w:szCs w:val="21"/>
              </w:rPr>
            </w:pPr>
            <w:r>
              <w:rPr>
                <w:rFonts w:ascii="Times New Roman" w:hAnsi="Times New Roman" w:cs="Times New Roman"/>
                <w:szCs w:val="21"/>
              </w:rPr>
              <w:t>64</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福州福锐汽配项目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规划用地约</w:t>
            </w:r>
            <w:r>
              <w:rPr>
                <w:rFonts w:ascii="Times New Roman" w:hAnsi="Times New Roman" w:cs="Times New Roman"/>
                <w:sz w:val="18"/>
                <w:szCs w:val="28"/>
              </w:rPr>
              <w:t>50亩,用于建设厂房及配套设施,主要生产车用内饰门板、线東、模夹具等。</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3</w:t>
            </w:r>
            <w:r>
              <w:rPr>
                <w:rFonts w:ascii="Times New Roman" w:hAnsi="Times New Roman" w:cs="Times New Roman"/>
                <w:szCs w:val="28"/>
              </w:rPr>
              <w:t>8000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ascii="Times New Roman" w:hAnsi="Times New Roman" w:cs="Times New Roman"/>
                <w:szCs w:val="21"/>
              </w:rPr>
            </w:pPr>
            <w:r>
              <w:rPr>
                <w:rFonts w:ascii="Times New Roman" w:hAnsi="Times New Roman" w:cs="Times New Roman"/>
                <w:szCs w:val="21"/>
              </w:rPr>
              <w:t>65</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福建欧拜克工贸有限公司厂房扩建项目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规划在岐尾、澜澄村用地</w:t>
            </w:r>
            <w:r>
              <w:rPr>
                <w:rFonts w:ascii="Times New Roman" w:hAnsi="Times New Roman" w:cs="Times New Roman"/>
                <w:sz w:val="18"/>
                <w:szCs w:val="28"/>
              </w:rPr>
              <w:t>25.16亩,主要生产加工硅钢片、耐指纹板、镀锌板、冷板、冷卷、热板、彩涂板及仓储配送等。</w:t>
            </w:r>
          </w:p>
        </w:tc>
        <w:tc>
          <w:tcPr>
            <w:tcW w:w="1701" w:type="dxa"/>
            <w:vAlign w:val="center"/>
          </w:tcPr>
          <w:p>
            <w:pPr>
              <w:jc w:val="center"/>
              <w:rPr>
                <w:rFonts w:ascii="Times New Roman" w:hAnsi="Times New Roman" w:cs="Times New Roman"/>
                <w:szCs w:val="28"/>
              </w:rPr>
            </w:pPr>
            <w:r>
              <w:rPr>
                <w:rFonts w:ascii="Times New Roman" w:hAnsi="Times New Roman" w:cs="Times New Roman"/>
                <w:szCs w:val="28"/>
              </w:rPr>
              <w:t>31000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ascii="Times New Roman" w:hAnsi="Times New Roman" w:cs="Times New Roman"/>
                <w:szCs w:val="21"/>
              </w:rPr>
            </w:pPr>
            <w:r>
              <w:rPr>
                <w:rFonts w:ascii="Times New Roman" w:hAnsi="Times New Roman" w:cs="Times New Roman"/>
                <w:szCs w:val="21"/>
              </w:rPr>
              <w:t>66</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福建贤辰实业有限公司厂房建设项目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项目征用双龙村、洋下村土地</w:t>
            </w:r>
            <w:r>
              <w:rPr>
                <w:rFonts w:ascii="Times New Roman" w:hAnsi="Times New Roman" w:cs="Times New Roman"/>
                <w:sz w:val="18"/>
                <w:szCs w:val="28"/>
              </w:rPr>
              <w:t>25.59亩,主要生产经营汽车、电子配套包装用品等。</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3</w:t>
            </w:r>
            <w:r>
              <w:rPr>
                <w:rFonts w:ascii="Times New Roman" w:hAnsi="Times New Roman" w:cs="Times New Roman"/>
                <w:szCs w:val="28"/>
              </w:rPr>
              <w:t>0000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ascii="Times New Roman" w:hAnsi="Times New Roman" w:cs="Times New Roman"/>
                <w:szCs w:val="21"/>
              </w:rPr>
            </w:pPr>
            <w:r>
              <w:rPr>
                <w:rFonts w:ascii="Times New Roman" w:hAnsi="Times New Roman" w:cs="Times New Roman"/>
                <w:szCs w:val="21"/>
              </w:rPr>
              <w:t>67</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凯威利华润滑油生产仓储项目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规划用地约</w:t>
            </w:r>
            <w:r>
              <w:rPr>
                <w:rFonts w:ascii="Times New Roman" w:hAnsi="Times New Roman" w:cs="Times New Roman"/>
                <w:sz w:val="18"/>
                <w:szCs w:val="28"/>
              </w:rPr>
              <w:t>23.80亩,主要新建润滑油研发、生产、仓储的工业厂房及配套设施。</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3</w:t>
            </w:r>
            <w:r>
              <w:rPr>
                <w:rFonts w:ascii="Times New Roman" w:hAnsi="Times New Roman" w:cs="Times New Roman"/>
                <w:szCs w:val="28"/>
              </w:rPr>
              <w:t>0000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ascii="Times New Roman" w:hAnsi="Times New Roman" w:cs="Times New Roman"/>
                <w:szCs w:val="21"/>
              </w:rPr>
            </w:pPr>
            <w:r>
              <w:rPr>
                <w:rFonts w:ascii="Times New Roman" w:hAnsi="Times New Roman" w:cs="Times New Roman"/>
                <w:szCs w:val="21"/>
              </w:rPr>
              <w:t>68</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福州金飞鱼动力科技有限公司</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规划在卜洲村用地90亩,主要生产柴油发动机。</w:t>
            </w:r>
          </w:p>
          <w:p>
            <w:pPr>
              <w:rPr>
                <w:rFonts w:ascii="Times New Roman" w:hAnsi="Times New Roman" w:cs="Times New Roman"/>
                <w:sz w:val="18"/>
                <w:szCs w:val="28"/>
              </w:rPr>
            </w:pP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1</w:t>
            </w:r>
            <w:r>
              <w:rPr>
                <w:rFonts w:ascii="Times New Roman" w:hAnsi="Times New Roman" w:cs="Times New Roman"/>
                <w:szCs w:val="28"/>
              </w:rPr>
              <w:t>8000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ascii="Times New Roman" w:hAnsi="Times New Roman" w:cs="Times New Roman"/>
                <w:szCs w:val="21"/>
              </w:rPr>
            </w:pPr>
            <w:r>
              <w:rPr>
                <w:rFonts w:ascii="Times New Roman" w:hAnsi="Times New Roman" w:cs="Times New Roman"/>
                <w:szCs w:val="21"/>
              </w:rPr>
              <w:t>69</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福建鑫元达机械制造有限公司厂房及配套设施项目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项目征用辅翼村土地</w:t>
            </w:r>
            <w:r>
              <w:rPr>
                <w:rFonts w:ascii="Times New Roman" w:hAnsi="Times New Roman" w:cs="Times New Roman"/>
                <w:sz w:val="18"/>
                <w:szCs w:val="28"/>
              </w:rPr>
              <w:t>51.66亩,主要设立刹车盘、铸造轮毂等金属制品生产基地。</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1</w:t>
            </w:r>
            <w:r>
              <w:rPr>
                <w:rFonts w:ascii="Times New Roman" w:hAnsi="Times New Roman" w:cs="Times New Roman"/>
                <w:szCs w:val="28"/>
              </w:rPr>
              <w:t>5000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ascii="Times New Roman" w:hAnsi="Times New Roman" w:cs="Times New Roman"/>
                <w:szCs w:val="21"/>
              </w:rPr>
            </w:pPr>
            <w:r>
              <w:rPr>
                <w:rFonts w:ascii="Times New Roman" w:hAnsi="Times New Roman" w:cs="Times New Roman"/>
                <w:szCs w:val="21"/>
              </w:rPr>
              <w:t>70</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福建鸿业机械有限公司厂房扩建项目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规划用地</w:t>
            </w:r>
            <w:r>
              <w:rPr>
                <w:rFonts w:ascii="Times New Roman" w:hAnsi="Times New Roman" w:cs="Times New Roman"/>
                <w:sz w:val="18"/>
                <w:szCs w:val="28"/>
              </w:rPr>
              <w:t>46.62亩,主要生产汽车机械配件等。</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1</w:t>
            </w:r>
            <w:r>
              <w:rPr>
                <w:rFonts w:ascii="Times New Roman" w:hAnsi="Times New Roman" w:cs="Times New Roman"/>
                <w:szCs w:val="28"/>
              </w:rPr>
              <w:t>4500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ascii="Times New Roman" w:hAnsi="Times New Roman" w:cs="Times New Roman"/>
                <w:szCs w:val="21"/>
              </w:rPr>
            </w:pPr>
            <w:r>
              <w:rPr>
                <w:rFonts w:ascii="Times New Roman" w:hAnsi="Times New Roman" w:cs="Times New Roman"/>
                <w:szCs w:val="21"/>
              </w:rPr>
              <w:t>71</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宏源环保设备厂房建设项目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规划在中院村用地</w:t>
            </w:r>
            <w:r>
              <w:rPr>
                <w:rFonts w:ascii="Times New Roman" w:hAnsi="Times New Roman" w:cs="Times New Roman"/>
                <w:sz w:val="18"/>
                <w:szCs w:val="28"/>
              </w:rPr>
              <w:t>30.43亩,主要生产污水处理设备、医疗器械清洁设备等环保设备。</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 xml:space="preserve">12000 </w:t>
            </w:r>
          </w:p>
          <w:p>
            <w:pPr>
              <w:jc w:val="center"/>
              <w:rPr>
                <w:rFonts w:ascii="Times New Roman" w:hAnsi="Times New Roman" w:cs="Times New Roman"/>
                <w:szCs w:val="28"/>
              </w:rPr>
            </w:pP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ascii="Times New Roman" w:hAnsi="Times New Roman" w:cs="Times New Roman"/>
                <w:szCs w:val="21"/>
              </w:rPr>
            </w:pPr>
            <w:r>
              <w:rPr>
                <w:rFonts w:ascii="Times New Roman" w:hAnsi="Times New Roman" w:cs="Times New Roman"/>
                <w:szCs w:val="21"/>
              </w:rPr>
              <w:t>72</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福建星联汽车配件厂房二期</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规划用地</w:t>
            </w:r>
            <w:r>
              <w:rPr>
                <w:rFonts w:ascii="Times New Roman" w:hAnsi="Times New Roman" w:cs="Times New Roman"/>
                <w:sz w:val="18"/>
                <w:szCs w:val="28"/>
              </w:rPr>
              <w:t>5212平方米,建筑面积14137平方米,主要生产汽车内饰件。</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1</w:t>
            </w:r>
            <w:r>
              <w:rPr>
                <w:rFonts w:ascii="Times New Roman" w:hAnsi="Times New Roman" w:cs="Times New Roman"/>
                <w:szCs w:val="28"/>
              </w:rPr>
              <w:t>0000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ascii="Times New Roman" w:hAnsi="Times New Roman" w:cs="Times New Roman"/>
                <w:szCs w:val="21"/>
              </w:rPr>
            </w:pPr>
            <w:r>
              <w:rPr>
                <w:rFonts w:ascii="Times New Roman" w:hAnsi="Times New Roman" w:cs="Times New Roman"/>
                <w:szCs w:val="21"/>
              </w:rPr>
              <w:t>73</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福建中凯信有限公司二期项目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征用中院村土地</w:t>
            </w:r>
            <w:r>
              <w:rPr>
                <w:rFonts w:ascii="Times New Roman" w:hAnsi="Times New Roman" w:cs="Times New Roman"/>
                <w:sz w:val="18"/>
                <w:szCs w:val="28"/>
              </w:rPr>
              <w:t>8亩,规划建设厂房1.5万平方米及新增20条服装生产线。</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1</w:t>
            </w:r>
            <w:r>
              <w:rPr>
                <w:rFonts w:ascii="Times New Roman" w:hAnsi="Times New Roman" w:cs="Times New Roman"/>
                <w:szCs w:val="28"/>
              </w:rPr>
              <w:t>0000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ascii="Times New Roman" w:hAnsi="Times New Roman" w:cs="Times New Roman"/>
                <w:szCs w:val="21"/>
              </w:rPr>
            </w:pPr>
            <w:r>
              <w:rPr>
                <w:rFonts w:ascii="Times New Roman" w:hAnsi="Times New Roman" w:cs="Times New Roman"/>
                <w:szCs w:val="21"/>
              </w:rPr>
              <w:t>74</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福州华烁汽车零部件生产项目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规划在辅翼村用地</w:t>
            </w:r>
            <w:r>
              <w:rPr>
                <w:rFonts w:ascii="Times New Roman" w:hAnsi="Times New Roman" w:cs="Times New Roman"/>
                <w:sz w:val="18"/>
                <w:szCs w:val="28"/>
              </w:rPr>
              <w:t>56.71亩,主要生产汽车减震器、排气管、转向器等。</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1</w:t>
            </w:r>
            <w:r>
              <w:rPr>
                <w:rFonts w:ascii="Times New Roman" w:hAnsi="Times New Roman" w:cs="Times New Roman"/>
                <w:szCs w:val="28"/>
              </w:rPr>
              <w:t>0000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ascii="Times New Roman" w:hAnsi="Times New Roman" w:cs="Times New Roman"/>
                <w:szCs w:val="21"/>
              </w:rPr>
            </w:pPr>
            <w:r>
              <w:rPr>
                <w:rFonts w:ascii="Times New Roman" w:hAnsi="Times New Roman" w:cs="Times New Roman"/>
                <w:szCs w:val="21"/>
              </w:rPr>
              <w:t>75</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益明源高新涂料</w:t>
            </w:r>
            <w:r>
              <w:rPr>
                <w:rFonts w:ascii="Times New Roman" w:hAnsi="Times New Roman" w:cs="Times New Roman"/>
                <w:sz w:val="24"/>
                <w:szCs w:val="28"/>
              </w:rPr>
              <w:t>(二期）</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位于祥谦镇中院村</w:t>
            </w:r>
            <w:r>
              <w:rPr>
                <w:rFonts w:ascii="Times New Roman" w:hAnsi="Times New Roman" w:cs="Times New Roman"/>
                <w:sz w:val="18"/>
                <w:szCs w:val="28"/>
              </w:rPr>
              <w:t>,规划建设益明源高新涂料二期厂房。</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1</w:t>
            </w:r>
            <w:r>
              <w:rPr>
                <w:rFonts w:ascii="Times New Roman" w:hAnsi="Times New Roman" w:cs="Times New Roman"/>
                <w:szCs w:val="28"/>
              </w:rPr>
              <w:t>0000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ascii="Times New Roman" w:hAnsi="Times New Roman" w:cs="Times New Roman"/>
                <w:szCs w:val="21"/>
              </w:rPr>
            </w:pPr>
            <w:r>
              <w:rPr>
                <w:rFonts w:ascii="Times New Roman" w:hAnsi="Times New Roman" w:cs="Times New Roman"/>
                <w:szCs w:val="21"/>
              </w:rPr>
              <w:t>76</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新航气体（福州）有限公司厂房扩建项目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在卜洲村规划用地约</w:t>
            </w:r>
            <w:r>
              <w:rPr>
                <w:rFonts w:ascii="Times New Roman" w:hAnsi="Times New Roman" w:cs="Times New Roman"/>
                <w:sz w:val="18"/>
                <w:szCs w:val="28"/>
              </w:rPr>
              <w:t>28亩,主要经营工业配套气体等。</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1</w:t>
            </w:r>
            <w:r>
              <w:rPr>
                <w:rFonts w:ascii="Times New Roman" w:hAnsi="Times New Roman" w:cs="Times New Roman"/>
                <w:szCs w:val="28"/>
              </w:rPr>
              <w:t>0000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ascii="Times New Roman" w:hAnsi="Times New Roman" w:cs="Times New Roman"/>
                <w:szCs w:val="21"/>
              </w:rPr>
            </w:pPr>
            <w:r>
              <w:rPr>
                <w:rFonts w:ascii="Times New Roman" w:hAnsi="Times New Roman" w:cs="Times New Roman"/>
                <w:szCs w:val="21"/>
              </w:rPr>
              <w:t>77</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福州东南公路港物流园（三期）</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规划用地</w:t>
            </w:r>
            <w:r>
              <w:rPr>
                <w:rFonts w:ascii="Times New Roman" w:hAnsi="Times New Roman" w:cs="Times New Roman"/>
                <w:sz w:val="18"/>
                <w:szCs w:val="28"/>
              </w:rPr>
              <w:t>240亩,总建筑面积158841平方米,主要建设货物分拣包装车间、物流配套用房及配套设施等。</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3</w:t>
            </w:r>
            <w:r>
              <w:rPr>
                <w:rFonts w:ascii="Times New Roman" w:hAnsi="Times New Roman" w:cs="Times New Roman"/>
                <w:szCs w:val="28"/>
              </w:rPr>
              <w:t>3000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ascii="Times New Roman" w:hAnsi="Times New Roman" w:cs="Times New Roman"/>
                <w:szCs w:val="21"/>
              </w:rPr>
            </w:pPr>
            <w:r>
              <w:rPr>
                <w:rFonts w:ascii="Times New Roman" w:hAnsi="Times New Roman" w:cs="Times New Roman"/>
                <w:szCs w:val="21"/>
              </w:rPr>
              <w:t>78</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福建联达混泥土有限公司厂房及配套设施建设项目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规划用地</w:t>
            </w:r>
            <w:r>
              <w:rPr>
                <w:rFonts w:ascii="Times New Roman" w:hAnsi="Times New Roman" w:cs="Times New Roman"/>
                <w:sz w:val="18"/>
                <w:szCs w:val="28"/>
              </w:rPr>
              <w:t>50亩,建设厂房及配套设施。</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3</w:t>
            </w:r>
            <w:r>
              <w:rPr>
                <w:rFonts w:ascii="Times New Roman" w:hAnsi="Times New Roman" w:cs="Times New Roman"/>
                <w:szCs w:val="28"/>
              </w:rPr>
              <w:t>4300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ascii="Times New Roman" w:hAnsi="Times New Roman" w:cs="Times New Roman"/>
                <w:szCs w:val="21"/>
              </w:rPr>
            </w:pPr>
            <w:r>
              <w:rPr>
                <w:rFonts w:ascii="Times New Roman" w:hAnsi="Times New Roman" w:cs="Times New Roman"/>
                <w:szCs w:val="21"/>
              </w:rPr>
              <w:t>79</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闽侯县新型环保建材项目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拟申请</w:t>
            </w:r>
            <w:r>
              <w:rPr>
                <w:rFonts w:ascii="Times New Roman" w:hAnsi="Times New Roman" w:cs="Times New Roman"/>
                <w:sz w:val="18"/>
                <w:szCs w:val="28"/>
              </w:rPr>
              <w:t>40亩土地建设高效、环保的建筑垃圾资源化利用场所,用于建筑垃圾受纳处置,并对建筑垃圾进行加工再利用,开发透水砖等新型环保建材。规划建筑面积39960平米,达产后预计可实现日处理建筑拆迁垃圾5000立方米、建筑泥浆1700立方米的消纳能力,同时生产烧结砖、再生透水砖、新型建材超40万立方米/年。</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1</w:t>
            </w:r>
            <w:r>
              <w:rPr>
                <w:rFonts w:ascii="Times New Roman" w:hAnsi="Times New Roman" w:cs="Times New Roman"/>
                <w:szCs w:val="28"/>
              </w:rPr>
              <w:t>9000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ascii="Times New Roman" w:hAnsi="Times New Roman" w:cs="Times New Roman"/>
                <w:szCs w:val="21"/>
              </w:rPr>
            </w:pPr>
            <w:r>
              <w:rPr>
                <w:rFonts w:ascii="Times New Roman" w:hAnsi="Times New Roman" w:cs="Times New Roman"/>
                <w:szCs w:val="21"/>
              </w:rPr>
              <w:t>80</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长祥机械制造厂房及配套设施</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规划用地约</w:t>
            </w:r>
            <w:r>
              <w:rPr>
                <w:rFonts w:ascii="Times New Roman" w:hAnsi="Times New Roman" w:cs="Times New Roman"/>
                <w:sz w:val="18"/>
                <w:szCs w:val="28"/>
              </w:rPr>
              <w:t>30亩（面积以实测为准）,用于建设机械制造厂房及配套设施。</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9</w:t>
            </w:r>
            <w:r>
              <w:rPr>
                <w:rFonts w:ascii="Times New Roman" w:hAnsi="Times New Roman" w:cs="Times New Roman"/>
                <w:szCs w:val="28"/>
              </w:rPr>
              <w:t>000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ascii="Times New Roman" w:hAnsi="Times New Roman" w:cs="Times New Roman"/>
                <w:szCs w:val="21"/>
              </w:rPr>
            </w:pPr>
            <w:r>
              <w:rPr>
                <w:rFonts w:ascii="Times New Roman" w:hAnsi="Times New Roman" w:cs="Times New Roman"/>
                <w:szCs w:val="21"/>
              </w:rPr>
              <w:t>81</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福建新博德麦卢卡蜂蜜研发加工项目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规划用地</w:t>
            </w:r>
            <w:r>
              <w:rPr>
                <w:rFonts w:ascii="Times New Roman" w:hAnsi="Times New Roman" w:cs="Times New Roman"/>
                <w:sz w:val="18"/>
                <w:szCs w:val="28"/>
              </w:rPr>
              <w:t>20亩,建设博德麦卢卡蜂蜜营养素研发、深加工及物流仓配项目,包含产品研发中心、无菌车间、综合办公大楼、城配作业仓、恒温保鲜仓库及相关配套设施。</w:t>
            </w:r>
          </w:p>
        </w:tc>
        <w:tc>
          <w:tcPr>
            <w:tcW w:w="1701" w:type="dxa"/>
            <w:vAlign w:val="center"/>
          </w:tcPr>
          <w:p>
            <w:pPr>
              <w:jc w:val="center"/>
              <w:rPr>
                <w:rFonts w:ascii="Times New Roman" w:hAnsi="Times New Roman" w:cs="Times New Roman"/>
                <w:szCs w:val="28"/>
              </w:rPr>
            </w:pPr>
            <w:r>
              <w:rPr>
                <w:rFonts w:ascii="Times New Roman" w:hAnsi="Times New Roman" w:cs="Times New Roman"/>
                <w:szCs w:val="28"/>
              </w:rPr>
              <w:t>11000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ascii="Times New Roman" w:hAnsi="Times New Roman" w:cs="Times New Roman"/>
                <w:szCs w:val="21"/>
              </w:rPr>
            </w:pPr>
            <w:r>
              <w:rPr>
                <w:rFonts w:ascii="Times New Roman" w:hAnsi="Times New Roman" w:cs="Times New Roman"/>
                <w:szCs w:val="21"/>
              </w:rPr>
              <w:t>82</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闽侯县金品工艺有限公司改扩建项目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规划用地</w:t>
            </w:r>
            <w:r>
              <w:rPr>
                <w:rFonts w:ascii="Times New Roman" w:hAnsi="Times New Roman" w:cs="Times New Roman"/>
                <w:sz w:val="18"/>
                <w:szCs w:val="28"/>
              </w:rPr>
              <w:t>15.22亩,建筑面积20381.52平方米,建设工业厂房,用于生产工艺品等。</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1</w:t>
            </w:r>
            <w:r>
              <w:rPr>
                <w:rFonts w:ascii="Times New Roman" w:hAnsi="Times New Roman" w:cs="Times New Roman"/>
                <w:szCs w:val="28"/>
              </w:rPr>
              <w:t>0000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ascii="Times New Roman" w:hAnsi="Times New Roman" w:cs="Times New Roman"/>
                <w:szCs w:val="21"/>
              </w:rPr>
            </w:pPr>
            <w:r>
              <w:rPr>
                <w:rFonts w:ascii="Times New Roman" w:hAnsi="Times New Roman" w:cs="Times New Roman"/>
                <w:szCs w:val="21"/>
              </w:rPr>
              <w:t>83</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洲贸家居饰品有限公司厂房及配套设施建设项目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预申请工业用地</w:t>
            </w:r>
            <w:r>
              <w:rPr>
                <w:rFonts w:ascii="Times New Roman" w:hAnsi="Times New Roman" w:cs="Times New Roman"/>
                <w:sz w:val="18"/>
                <w:szCs w:val="28"/>
              </w:rPr>
              <w:t>22亩,用于建设厂房及配套设施。</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7</w:t>
            </w:r>
            <w:r>
              <w:rPr>
                <w:rFonts w:ascii="Times New Roman" w:hAnsi="Times New Roman" w:cs="Times New Roman"/>
                <w:szCs w:val="28"/>
              </w:rPr>
              <w:t>000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ascii="Times New Roman" w:hAnsi="Times New Roman" w:cs="Times New Roman"/>
                <w:szCs w:val="21"/>
              </w:rPr>
            </w:pPr>
            <w:r>
              <w:rPr>
                <w:rFonts w:ascii="Times New Roman" w:hAnsi="Times New Roman" w:cs="Times New Roman"/>
                <w:szCs w:val="21"/>
              </w:rPr>
              <w:t>84</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闽侯县业新家居制造有限公司扩征项目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规划用地约</w:t>
            </w:r>
            <w:r>
              <w:rPr>
                <w:rFonts w:ascii="Times New Roman" w:hAnsi="Times New Roman" w:cs="Times New Roman"/>
                <w:sz w:val="18"/>
                <w:szCs w:val="28"/>
              </w:rPr>
              <w:t>15亩,陈店湖原规划用地东侧预申请扩征边角地,用于厂房建设。</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3</w:t>
            </w:r>
            <w:r>
              <w:rPr>
                <w:rFonts w:ascii="Times New Roman" w:hAnsi="Times New Roman" w:cs="Times New Roman"/>
                <w:szCs w:val="28"/>
              </w:rPr>
              <w:t>600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ascii="Times New Roman" w:hAnsi="Times New Roman" w:cs="Times New Roman"/>
                <w:szCs w:val="21"/>
              </w:rPr>
            </w:pPr>
            <w:r>
              <w:rPr>
                <w:rFonts w:ascii="Times New Roman" w:hAnsi="Times New Roman" w:cs="Times New Roman"/>
                <w:szCs w:val="21"/>
              </w:rPr>
              <w:t>85</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福州天石源超硬材料工具有限公司二期项目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规划用地约</w:t>
            </w:r>
            <w:r>
              <w:rPr>
                <w:rFonts w:ascii="Times New Roman" w:hAnsi="Times New Roman" w:cs="Times New Roman"/>
                <w:sz w:val="18"/>
                <w:szCs w:val="28"/>
              </w:rPr>
              <w:t>51.9亩,总建筑面积约40000平方米,主要建设厂房及配套设施,用于生产多绳金刚石串珠绳锯设备及石材开发等。</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4</w:t>
            </w:r>
            <w:r>
              <w:rPr>
                <w:rFonts w:ascii="Times New Roman" w:hAnsi="Times New Roman" w:cs="Times New Roman"/>
                <w:szCs w:val="28"/>
              </w:rPr>
              <w:t>5000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ascii="Times New Roman" w:hAnsi="Times New Roman" w:cs="Times New Roman"/>
                <w:szCs w:val="21"/>
              </w:rPr>
            </w:pPr>
            <w:r>
              <w:rPr>
                <w:rFonts w:ascii="Times New Roman" w:hAnsi="Times New Roman" w:cs="Times New Roman"/>
                <w:szCs w:val="21"/>
              </w:rPr>
              <w:t>86</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福建福特科光电股份有限公司二期项目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规划用地约</w:t>
            </w:r>
            <w:r>
              <w:rPr>
                <w:rFonts w:ascii="Times New Roman" w:hAnsi="Times New Roman" w:cs="Times New Roman"/>
                <w:sz w:val="18"/>
                <w:szCs w:val="28"/>
              </w:rPr>
              <w:t>50亩,主要建筑面积42500平方米,主要用于建设生产星光级网络摄像机等厂房及配套设施。</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3</w:t>
            </w:r>
            <w:r>
              <w:rPr>
                <w:rFonts w:ascii="Times New Roman" w:hAnsi="Times New Roman" w:cs="Times New Roman"/>
                <w:szCs w:val="28"/>
              </w:rPr>
              <w:t>0000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ascii="Times New Roman" w:hAnsi="Times New Roman" w:cs="Times New Roman"/>
                <w:szCs w:val="21"/>
              </w:rPr>
            </w:pPr>
            <w:r>
              <w:rPr>
                <w:rFonts w:ascii="Times New Roman" w:hAnsi="Times New Roman" w:cs="Times New Roman"/>
                <w:szCs w:val="21"/>
              </w:rPr>
              <w:t>87</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神州美景脑血管仪器生产基地建设项目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规划用地约</w:t>
            </w:r>
            <w:r>
              <w:rPr>
                <w:rFonts w:ascii="Times New Roman" w:hAnsi="Times New Roman" w:cs="Times New Roman"/>
                <w:sz w:val="18"/>
                <w:szCs w:val="28"/>
              </w:rPr>
              <w:t>39.5亩,用于建设脑血管健康管理产品研发及生产基地。</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30</w:t>
            </w:r>
            <w:r>
              <w:rPr>
                <w:rFonts w:ascii="Times New Roman" w:hAnsi="Times New Roman" w:cs="Times New Roman"/>
                <w:szCs w:val="28"/>
              </w:rPr>
              <w:t>000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ascii="Times New Roman" w:hAnsi="Times New Roman" w:cs="Times New Roman"/>
                <w:szCs w:val="21"/>
              </w:rPr>
            </w:pPr>
            <w:r>
              <w:rPr>
                <w:rFonts w:ascii="Times New Roman" w:hAnsi="Times New Roman" w:cs="Times New Roman"/>
                <w:szCs w:val="21"/>
              </w:rPr>
              <w:t>88</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福州新北生化生物医药研发生产配送基地项目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总建筑面积约</w:t>
            </w:r>
            <w:r>
              <w:rPr>
                <w:rFonts w:ascii="Times New Roman" w:hAnsi="Times New Roman" w:cs="Times New Roman"/>
                <w:sz w:val="18"/>
                <w:szCs w:val="28"/>
              </w:rPr>
              <w:t>10000平方米,主要建设药品检测鲎试剂、体外诊断试剂、血液透析液检测试剂生产基地和干细胞培养技术研发中心等,建成后新增生产1000万支鲎试剂。</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1</w:t>
            </w:r>
            <w:r>
              <w:rPr>
                <w:rFonts w:ascii="Times New Roman" w:hAnsi="Times New Roman" w:cs="Times New Roman"/>
                <w:szCs w:val="28"/>
              </w:rPr>
              <w:t>0000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jc w:val="center"/>
              <w:rPr>
                <w:rFonts w:ascii="Times New Roman" w:hAnsi="Times New Roman" w:cs="Times New Roman"/>
                <w:szCs w:val="21"/>
              </w:rPr>
            </w:pPr>
            <w:r>
              <w:rPr>
                <w:rFonts w:hint="eastAsia" w:ascii="Times New Roman" w:hAnsi="Times New Roman" w:cs="Times New Roman"/>
                <w:szCs w:val="21"/>
              </w:rPr>
              <w:t>8</w:t>
            </w:r>
            <w:r>
              <w:rPr>
                <w:rFonts w:ascii="Times New Roman" w:hAnsi="Times New Roman" w:cs="Times New Roman"/>
                <w:szCs w:val="21"/>
              </w:rPr>
              <w:t>9</w:t>
            </w:r>
          </w:p>
        </w:tc>
        <w:tc>
          <w:tcPr>
            <w:tcW w:w="2892" w:type="dxa"/>
            <w:vAlign w:val="center"/>
          </w:tcPr>
          <w:p>
            <w:pPr>
              <w:jc w:val="center"/>
              <w:rPr>
                <w:rFonts w:ascii="Times New Roman" w:hAnsi="Times New Roman" w:cs="Times New Roman"/>
                <w:sz w:val="24"/>
                <w:szCs w:val="28"/>
              </w:rPr>
            </w:pPr>
            <w:r>
              <w:rPr>
                <w:rFonts w:hint="eastAsia" w:ascii="Times New Roman" w:hAnsi="Times New Roman" w:cs="Times New Roman"/>
                <w:sz w:val="24"/>
                <w:szCs w:val="28"/>
              </w:rPr>
              <w:t>金福机动车安全监测有限公司用房建设项目</w:t>
            </w:r>
          </w:p>
        </w:tc>
        <w:tc>
          <w:tcPr>
            <w:tcW w:w="5125" w:type="dxa"/>
            <w:vAlign w:val="center"/>
          </w:tcPr>
          <w:p>
            <w:pPr>
              <w:rPr>
                <w:rFonts w:ascii="Times New Roman" w:hAnsi="Times New Roman" w:cs="Times New Roman"/>
                <w:sz w:val="18"/>
                <w:szCs w:val="28"/>
              </w:rPr>
            </w:pPr>
            <w:r>
              <w:rPr>
                <w:rFonts w:hint="eastAsia" w:ascii="Times New Roman" w:hAnsi="Times New Roman" w:cs="Times New Roman"/>
                <w:sz w:val="18"/>
                <w:szCs w:val="28"/>
              </w:rPr>
              <w:t>福建省金福机动车检测中心及配套附属设施项目规划用地面积约</w:t>
            </w:r>
            <w:r>
              <w:rPr>
                <w:rFonts w:ascii="Times New Roman" w:hAnsi="Times New Roman" w:cs="Times New Roman"/>
                <w:sz w:val="18"/>
                <w:szCs w:val="28"/>
              </w:rPr>
              <w:t>21.51亩,总建筑面积约20000平方米,主要建设厂房及配套设施用于生产符合公安部新标准的机动车号牌生产、机动车检测及建设保密印刷业务场所等。</w:t>
            </w:r>
          </w:p>
        </w:tc>
        <w:tc>
          <w:tcPr>
            <w:tcW w:w="1701" w:type="dxa"/>
            <w:vAlign w:val="center"/>
          </w:tcPr>
          <w:p>
            <w:pPr>
              <w:jc w:val="center"/>
              <w:rPr>
                <w:rFonts w:ascii="Times New Roman" w:hAnsi="Times New Roman" w:cs="Times New Roman"/>
                <w:szCs w:val="28"/>
              </w:rPr>
            </w:pPr>
            <w:r>
              <w:rPr>
                <w:rFonts w:hint="eastAsia" w:ascii="Times New Roman" w:hAnsi="Times New Roman" w:cs="Times New Roman"/>
                <w:szCs w:val="28"/>
              </w:rPr>
              <w:t>6</w:t>
            </w:r>
            <w:r>
              <w:rPr>
                <w:rFonts w:ascii="Times New Roman" w:hAnsi="Times New Roman" w:cs="Times New Roman"/>
                <w:szCs w:val="28"/>
              </w:rPr>
              <w:t>500</w:t>
            </w:r>
          </w:p>
        </w:tc>
        <w:tc>
          <w:tcPr>
            <w:tcW w:w="1928" w:type="dxa"/>
            <w:vAlign w:val="center"/>
          </w:tcPr>
          <w:p>
            <w:pPr>
              <w:jc w:val="center"/>
              <w:rPr>
                <w:rFonts w:ascii="Times New Roman" w:hAnsi="Times New Roman" w:cs="Times New Roman"/>
                <w:szCs w:val="28"/>
              </w:rPr>
            </w:pPr>
            <w:r>
              <w:rPr>
                <w:rFonts w:hint="eastAsia" w:ascii="Times New Roman" w:hAnsi="Times New Roman" w:cs="Times New Roman"/>
                <w:szCs w:val="28"/>
              </w:rPr>
              <w:t>（未定）</w:t>
            </w:r>
          </w:p>
        </w:tc>
      </w:tr>
    </w:tbl>
    <w:p>
      <w:pPr>
        <w:adjustRightInd w:val="0"/>
        <w:rPr>
          <w:rFonts w:ascii="Times New Roman" w:hAnsi="Times New Roman" w:cs="Times New Roman"/>
          <w:sz w:val="28"/>
        </w:rPr>
      </w:pPr>
    </w:p>
    <w:sectPr>
      <w:footerReference r:id="rId8"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8008114"/>
    </w:sdtPr>
    <w:sdtContent>
      <w:sdt>
        <w:sdtPr>
          <w:id w:val="2024507421"/>
        </w:sdtPr>
        <w:sdtContent>
          <w:p>
            <w:pPr>
              <w:pStyle w:val="15"/>
              <w:jc w:val="center"/>
              <w:rPr>
                <w:b/>
                <w:bCs/>
                <w:szCs w:val="24"/>
              </w:rPr>
            </w:pPr>
            <w:r>
              <w:rPr>
                <w:rFonts w:ascii="Times New Roman" w:hAnsi="Times New Roman" w:cs="Times New Roman"/>
                <w:b/>
                <w:bCs/>
                <w:sz w:val="24"/>
                <w:szCs w:val="24"/>
              </w:rPr>
              <w:fldChar w:fldCharType="begin"/>
            </w:r>
            <w:r>
              <w:rPr>
                <w:rFonts w:ascii="Times New Roman" w:hAnsi="Times New Roman" w:cs="Times New Roman"/>
                <w:b/>
                <w:bCs/>
              </w:rPr>
              <w:instrText xml:space="preserve">PAGE</w:instrText>
            </w:r>
            <w:r>
              <w:rPr>
                <w:rFonts w:ascii="Times New Roman" w:hAnsi="Times New Roman" w:cs="Times New Roman"/>
                <w:b/>
                <w:bCs/>
                <w:sz w:val="24"/>
                <w:szCs w:val="24"/>
              </w:rPr>
              <w:fldChar w:fldCharType="separate"/>
            </w:r>
            <w:r>
              <w:rPr>
                <w:rFonts w:ascii="Times New Roman" w:hAnsi="Times New Roman" w:cs="Times New Roman"/>
                <w:b/>
                <w:bCs/>
              </w:rPr>
              <w:t>54</w:t>
            </w:r>
            <w:r>
              <w:rPr>
                <w:rFonts w:ascii="Times New Roman" w:hAnsi="Times New Roman" w:cs="Times New Roman"/>
                <w:b/>
                <w:bCs/>
                <w:sz w:val="24"/>
                <w:szCs w:val="24"/>
              </w:rPr>
              <w:fldChar w:fldCharType="end"/>
            </w:r>
            <w:r>
              <w:rPr>
                <w:rFonts w:ascii="Times New Roman" w:hAnsi="Times New Roman" w:cs="Times New Roman"/>
                <w:lang w:val="zh-CN"/>
              </w:rPr>
              <w:t xml:space="preserve"> / </w:t>
            </w:r>
            <w:r>
              <w:rPr>
                <w:rFonts w:ascii="Times New Roman" w:hAnsi="Times New Roman" w:cs="Times New Roman"/>
                <w:b/>
                <w:bCs/>
                <w:szCs w:val="24"/>
              </w:rPr>
              <w:t>64</w:t>
            </w:r>
          </w:p>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3608988"/>
    </w:sdtPr>
    <w:sdtEndPr>
      <w:rPr>
        <w:rFonts w:ascii="Times New Roman" w:hAnsi="Times New Roman" w:cs="Times New Roman"/>
      </w:rPr>
    </w:sdtEndPr>
    <w:sdtContent>
      <w:sdt>
        <w:sdtPr>
          <w:id w:val="-1287109272"/>
        </w:sdtPr>
        <w:sdtEndPr>
          <w:rPr>
            <w:rFonts w:ascii="Times New Roman" w:hAnsi="Times New Roman" w:cs="Times New Roman"/>
          </w:rPr>
        </w:sdtEndPr>
        <w:sdtContent>
          <w:p>
            <w:pPr>
              <w:pStyle w:val="15"/>
              <w:jc w:val="center"/>
              <w:rPr>
                <w:rFonts w:ascii="Times New Roman" w:hAnsi="Times New Roman" w:cs="Times New Roman"/>
              </w:rPr>
            </w:pPr>
            <w:r>
              <w:rPr>
                <w:rFonts w:ascii="Times New Roman" w:hAnsi="Times New Roman" w:cs="Times New Roman"/>
                <w:b/>
                <w:bCs/>
                <w:sz w:val="24"/>
                <w:szCs w:val="24"/>
              </w:rPr>
              <w:fldChar w:fldCharType="begin"/>
            </w:r>
            <w:r>
              <w:rPr>
                <w:rFonts w:ascii="Times New Roman" w:hAnsi="Times New Roman" w:cs="Times New Roman"/>
                <w:b/>
                <w:bCs/>
              </w:rPr>
              <w:instrText xml:space="preserve">PAGE</w:instrText>
            </w:r>
            <w:r>
              <w:rPr>
                <w:rFonts w:ascii="Times New Roman" w:hAnsi="Times New Roman" w:cs="Times New Roman"/>
                <w:b/>
                <w:bCs/>
                <w:sz w:val="24"/>
                <w:szCs w:val="24"/>
              </w:rPr>
              <w:fldChar w:fldCharType="separate"/>
            </w:r>
            <w:r>
              <w:rPr>
                <w:rFonts w:ascii="Times New Roman" w:hAnsi="Times New Roman" w:cs="Times New Roman"/>
                <w:b/>
                <w:bCs/>
              </w:rPr>
              <w:t>55</w:t>
            </w:r>
            <w:r>
              <w:rPr>
                <w:rFonts w:ascii="Times New Roman" w:hAnsi="Times New Roman" w:cs="Times New Roman"/>
                <w:b/>
                <w:bCs/>
                <w:sz w:val="24"/>
                <w:szCs w:val="24"/>
              </w:rPr>
              <w:fldChar w:fldCharType="end"/>
            </w:r>
            <w:r>
              <w:rPr>
                <w:rFonts w:ascii="Times New Roman" w:hAnsi="Times New Roman" w:cs="Times New Roman"/>
                <w:lang w:val="zh-CN"/>
              </w:rPr>
              <w:t xml:space="preserve"> / </w:t>
            </w:r>
            <w:r>
              <w:rPr>
                <w:rFonts w:ascii="Times New Roman" w:hAnsi="Times New Roman" w:cs="Times New Roman"/>
                <w:b/>
                <w:bCs/>
                <w:szCs w:val="24"/>
              </w:rPr>
              <w:t>64</w:t>
            </w:r>
          </w:p>
        </w:sdtContent>
      </w:sdt>
    </w:sdtContent>
  </w:sdt>
  <w:p>
    <w:pPr>
      <w:pStyle w:val="15"/>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Times New Roman" w:hAnsi="Times New Roman" w:cs="Times New Roman"/>
        <w:b/>
        <w:bCs/>
        <w:szCs w:val="24"/>
      </w:rPr>
    </w:pPr>
    <w:r>
      <w:rPr>
        <w:rFonts w:ascii="Times New Roman" w:hAnsi="Times New Roman" w:cs="Times New Roman"/>
        <w:b/>
        <w:bCs/>
        <w:sz w:val="24"/>
        <w:szCs w:val="24"/>
      </w:rPr>
      <w:fldChar w:fldCharType="begin"/>
    </w:r>
    <w:r>
      <w:rPr>
        <w:rFonts w:ascii="Times New Roman" w:hAnsi="Times New Roman" w:cs="Times New Roman"/>
        <w:b/>
        <w:bCs/>
      </w:rPr>
      <w:instrText xml:space="preserve">PAGE</w:instrText>
    </w:r>
    <w:r>
      <w:rPr>
        <w:rFonts w:ascii="Times New Roman" w:hAnsi="Times New Roman" w:cs="Times New Roman"/>
        <w:b/>
        <w:bCs/>
        <w:sz w:val="24"/>
        <w:szCs w:val="24"/>
      </w:rPr>
      <w:fldChar w:fldCharType="separate"/>
    </w:r>
    <w:r>
      <w:rPr>
        <w:rFonts w:ascii="Times New Roman" w:hAnsi="Times New Roman" w:cs="Times New Roman"/>
        <w:b/>
        <w:bCs/>
      </w:rPr>
      <w:t>56</w:t>
    </w:r>
    <w:r>
      <w:rPr>
        <w:rFonts w:ascii="Times New Roman" w:hAnsi="Times New Roman" w:cs="Times New Roman"/>
        <w:b/>
        <w:bCs/>
        <w:sz w:val="24"/>
        <w:szCs w:val="24"/>
      </w:rPr>
      <w:fldChar w:fldCharType="end"/>
    </w:r>
    <w:r>
      <w:rPr>
        <w:rFonts w:ascii="Times New Roman" w:hAnsi="Times New Roman" w:cs="Times New Roman"/>
        <w:lang w:val="zh-CN"/>
      </w:rPr>
      <w:t xml:space="preserve"> / </w:t>
    </w:r>
    <w:r>
      <w:rPr>
        <w:rFonts w:ascii="Times New Roman" w:hAnsi="Times New Roman" w:cs="Times New Roman"/>
        <w:b/>
        <w:bCs/>
        <w:szCs w:val="24"/>
      </w:rPr>
      <w:t>64</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2"/>
      </w:pBdr>
      <w:tabs>
        <w:tab w:val="center" w:pos="5387"/>
        <w:tab w:val="right" w:pos="10490"/>
        <w:tab w:val="clear" w:pos="4153"/>
        <w:tab w:val="clear" w:pos="8306"/>
      </w:tabs>
      <w:spacing w:after="240" w:afterLines="100"/>
      <w:jc w:val="both"/>
      <w:rPr>
        <w:rFonts w:ascii="楷体_GB2312" w:hAnsi="宋体" w:eastAsia="楷体_GB2312"/>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2"/>
      </w:pBdr>
      <w:spacing w:after="240" w:afterLines="100"/>
      <w:jc w:val="both"/>
      <w:rPr>
        <w:rFonts w:ascii="楷体_GB2312" w:hAnsi="宋体" w:eastAsia="楷体_GB2312"/>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F2"/>
    <w:rsid w:val="00000611"/>
    <w:rsid w:val="00000827"/>
    <w:rsid w:val="0000120E"/>
    <w:rsid w:val="000014C8"/>
    <w:rsid w:val="00001A69"/>
    <w:rsid w:val="00002B45"/>
    <w:rsid w:val="00002C10"/>
    <w:rsid w:val="00002DA8"/>
    <w:rsid w:val="000030D6"/>
    <w:rsid w:val="0000364C"/>
    <w:rsid w:val="00004F63"/>
    <w:rsid w:val="00006F27"/>
    <w:rsid w:val="000070C8"/>
    <w:rsid w:val="0001183C"/>
    <w:rsid w:val="00011E77"/>
    <w:rsid w:val="0001204B"/>
    <w:rsid w:val="00012C3F"/>
    <w:rsid w:val="00013808"/>
    <w:rsid w:val="00013843"/>
    <w:rsid w:val="00013F93"/>
    <w:rsid w:val="0001494C"/>
    <w:rsid w:val="0001573E"/>
    <w:rsid w:val="000157BA"/>
    <w:rsid w:val="0001649D"/>
    <w:rsid w:val="00016B9C"/>
    <w:rsid w:val="00016BB2"/>
    <w:rsid w:val="000175DC"/>
    <w:rsid w:val="000177A1"/>
    <w:rsid w:val="000209C3"/>
    <w:rsid w:val="00021E96"/>
    <w:rsid w:val="0002297C"/>
    <w:rsid w:val="00022AFD"/>
    <w:rsid w:val="000255A1"/>
    <w:rsid w:val="0002661C"/>
    <w:rsid w:val="00026873"/>
    <w:rsid w:val="000270FC"/>
    <w:rsid w:val="000309B7"/>
    <w:rsid w:val="00030A85"/>
    <w:rsid w:val="000327A9"/>
    <w:rsid w:val="000327C5"/>
    <w:rsid w:val="00032FA0"/>
    <w:rsid w:val="00033C18"/>
    <w:rsid w:val="00034036"/>
    <w:rsid w:val="00034195"/>
    <w:rsid w:val="00034829"/>
    <w:rsid w:val="00035BDC"/>
    <w:rsid w:val="00035E8A"/>
    <w:rsid w:val="00037E57"/>
    <w:rsid w:val="000403FB"/>
    <w:rsid w:val="00041529"/>
    <w:rsid w:val="000417A0"/>
    <w:rsid w:val="00043A30"/>
    <w:rsid w:val="00043EF3"/>
    <w:rsid w:val="00043FCF"/>
    <w:rsid w:val="000467CE"/>
    <w:rsid w:val="00046DD2"/>
    <w:rsid w:val="00046E64"/>
    <w:rsid w:val="00046EAA"/>
    <w:rsid w:val="00051438"/>
    <w:rsid w:val="000515A7"/>
    <w:rsid w:val="00051E0E"/>
    <w:rsid w:val="00053220"/>
    <w:rsid w:val="00053C12"/>
    <w:rsid w:val="00054672"/>
    <w:rsid w:val="00055084"/>
    <w:rsid w:val="000558D9"/>
    <w:rsid w:val="000564A9"/>
    <w:rsid w:val="000578DF"/>
    <w:rsid w:val="00060A97"/>
    <w:rsid w:val="00061707"/>
    <w:rsid w:val="000622DA"/>
    <w:rsid w:val="000643DA"/>
    <w:rsid w:val="000665DD"/>
    <w:rsid w:val="0007033C"/>
    <w:rsid w:val="00070ADA"/>
    <w:rsid w:val="00071522"/>
    <w:rsid w:val="00071B4C"/>
    <w:rsid w:val="00071B7B"/>
    <w:rsid w:val="00071CC3"/>
    <w:rsid w:val="00071F39"/>
    <w:rsid w:val="00073442"/>
    <w:rsid w:val="00074068"/>
    <w:rsid w:val="00074921"/>
    <w:rsid w:val="000752DC"/>
    <w:rsid w:val="000753BB"/>
    <w:rsid w:val="00077184"/>
    <w:rsid w:val="00080C6E"/>
    <w:rsid w:val="00080DAF"/>
    <w:rsid w:val="00083156"/>
    <w:rsid w:val="00083423"/>
    <w:rsid w:val="000837B6"/>
    <w:rsid w:val="0008395B"/>
    <w:rsid w:val="00084248"/>
    <w:rsid w:val="00085070"/>
    <w:rsid w:val="00085724"/>
    <w:rsid w:val="0008663F"/>
    <w:rsid w:val="00087B7E"/>
    <w:rsid w:val="00091206"/>
    <w:rsid w:val="0009162C"/>
    <w:rsid w:val="00093617"/>
    <w:rsid w:val="00093C1F"/>
    <w:rsid w:val="00093D95"/>
    <w:rsid w:val="0009403C"/>
    <w:rsid w:val="00094846"/>
    <w:rsid w:val="0009561E"/>
    <w:rsid w:val="0009581B"/>
    <w:rsid w:val="000958C8"/>
    <w:rsid w:val="00095B03"/>
    <w:rsid w:val="000A0213"/>
    <w:rsid w:val="000A0B06"/>
    <w:rsid w:val="000A1F39"/>
    <w:rsid w:val="000A4E0F"/>
    <w:rsid w:val="000A5278"/>
    <w:rsid w:val="000A572E"/>
    <w:rsid w:val="000A5965"/>
    <w:rsid w:val="000A5EF9"/>
    <w:rsid w:val="000A693F"/>
    <w:rsid w:val="000A74E2"/>
    <w:rsid w:val="000B1235"/>
    <w:rsid w:val="000B589E"/>
    <w:rsid w:val="000B5A8D"/>
    <w:rsid w:val="000B788F"/>
    <w:rsid w:val="000B7B99"/>
    <w:rsid w:val="000C0A22"/>
    <w:rsid w:val="000C1447"/>
    <w:rsid w:val="000C23DD"/>
    <w:rsid w:val="000C2FB9"/>
    <w:rsid w:val="000C3081"/>
    <w:rsid w:val="000C5C46"/>
    <w:rsid w:val="000C6152"/>
    <w:rsid w:val="000C6289"/>
    <w:rsid w:val="000C6C80"/>
    <w:rsid w:val="000D0197"/>
    <w:rsid w:val="000D1A82"/>
    <w:rsid w:val="000D1D01"/>
    <w:rsid w:val="000D2269"/>
    <w:rsid w:val="000D25E3"/>
    <w:rsid w:val="000D28DC"/>
    <w:rsid w:val="000D3D1E"/>
    <w:rsid w:val="000D781E"/>
    <w:rsid w:val="000E2866"/>
    <w:rsid w:val="000E3ED4"/>
    <w:rsid w:val="000E3FD9"/>
    <w:rsid w:val="000E4465"/>
    <w:rsid w:val="000E5A3B"/>
    <w:rsid w:val="000E5AD7"/>
    <w:rsid w:val="000E6B3E"/>
    <w:rsid w:val="000F0009"/>
    <w:rsid w:val="000F1566"/>
    <w:rsid w:val="000F3BD6"/>
    <w:rsid w:val="000F40E4"/>
    <w:rsid w:val="000F4390"/>
    <w:rsid w:val="000F4923"/>
    <w:rsid w:val="000F5CE5"/>
    <w:rsid w:val="000F64F8"/>
    <w:rsid w:val="000F71CC"/>
    <w:rsid w:val="000F7699"/>
    <w:rsid w:val="00100064"/>
    <w:rsid w:val="0010098D"/>
    <w:rsid w:val="001009B0"/>
    <w:rsid w:val="00100EC9"/>
    <w:rsid w:val="00101CE8"/>
    <w:rsid w:val="00102691"/>
    <w:rsid w:val="00105849"/>
    <w:rsid w:val="00107247"/>
    <w:rsid w:val="00107CF5"/>
    <w:rsid w:val="00112954"/>
    <w:rsid w:val="00112A9C"/>
    <w:rsid w:val="00113163"/>
    <w:rsid w:val="00114394"/>
    <w:rsid w:val="00114EAA"/>
    <w:rsid w:val="00122CB7"/>
    <w:rsid w:val="00122DEA"/>
    <w:rsid w:val="0012340B"/>
    <w:rsid w:val="00124AA9"/>
    <w:rsid w:val="001313A4"/>
    <w:rsid w:val="001316A6"/>
    <w:rsid w:val="00132F6E"/>
    <w:rsid w:val="001338D9"/>
    <w:rsid w:val="0013423F"/>
    <w:rsid w:val="001351AD"/>
    <w:rsid w:val="001367B4"/>
    <w:rsid w:val="001375BE"/>
    <w:rsid w:val="00140381"/>
    <w:rsid w:val="00141238"/>
    <w:rsid w:val="00141B3A"/>
    <w:rsid w:val="00141BB2"/>
    <w:rsid w:val="001425BC"/>
    <w:rsid w:val="00142E7A"/>
    <w:rsid w:val="0014394A"/>
    <w:rsid w:val="00144922"/>
    <w:rsid w:val="00145671"/>
    <w:rsid w:val="00145E1A"/>
    <w:rsid w:val="00146D84"/>
    <w:rsid w:val="00147387"/>
    <w:rsid w:val="001473C6"/>
    <w:rsid w:val="0014792C"/>
    <w:rsid w:val="00147F18"/>
    <w:rsid w:val="0015087A"/>
    <w:rsid w:val="00150BBF"/>
    <w:rsid w:val="001513C4"/>
    <w:rsid w:val="00152551"/>
    <w:rsid w:val="00152BEC"/>
    <w:rsid w:val="0015343C"/>
    <w:rsid w:val="001543A3"/>
    <w:rsid w:val="0015443B"/>
    <w:rsid w:val="001550CC"/>
    <w:rsid w:val="0015606A"/>
    <w:rsid w:val="001560E7"/>
    <w:rsid w:val="00156D35"/>
    <w:rsid w:val="00156F4A"/>
    <w:rsid w:val="00160912"/>
    <w:rsid w:val="00160D4B"/>
    <w:rsid w:val="001622EE"/>
    <w:rsid w:val="0016251E"/>
    <w:rsid w:val="001635C3"/>
    <w:rsid w:val="00163997"/>
    <w:rsid w:val="001642A6"/>
    <w:rsid w:val="001649B7"/>
    <w:rsid w:val="00165F93"/>
    <w:rsid w:val="00166E6E"/>
    <w:rsid w:val="001678E2"/>
    <w:rsid w:val="00167FE9"/>
    <w:rsid w:val="0017011F"/>
    <w:rsid w:val="00170123"/>
    <w:rsid w:val="00170854"/>
    <w:rsid w:val="001711D1"/>
    <w:rsid w:val="00171664"/>
    <w:rsid w:val="0017215F"/>
    <w:rsid w:val="001724D6"/>
    <w:rsid w:val="0017261B"/>
    <w:rsid w:val="00173606"/>
    <w:rsid w:val="0017478B"/>
    <w:rsid w:val="00175582"/>
    <w:rsid w:val="00175C0A"/>
    <w:rsid w:val="001763E2"/>
    <w:rsid w:val="00176EC9"/>
    <w:rsid w:val="00180493"/>
    <w:rsid w:val="00180712"/>
    <w:rsid w:val="00181149"/>
    <w:rsid w:val="0018446A"/>
    <w:rsid w:val="00184F44"/>
    <w:rsid w:val="0018504B"/>
    <w:rsid w:val="001859CC"/>
    <w:rsid w:val="001902C2"/>
    <w:rsid w:val="00190895"/>
    <w:rsid w:val="00190F41"/>
    <w:rsid w:val="001911B9"/>
    <w:rsid w:val="00191E60"/>
    <w:rsid w:val="001927F1"/>
    <w:rsid w:val="00192F42"/>
    <w:rsid w:val="0019669C"/>
    <w:rsid w:val="00197AC6"/>
    <w:rsid w:val="001A0459"/>
    <w:rsid w:val="001A074A"/>
    <w:rsid w:val="001A2A7C"/>
    <w:rsid w:val="001A36EB"/>
    <w:rsid w:val="001A4AA1"/>
    <w:rsid w:val="001A55A7"/>
    <w:rsid w:val="001A5AA0"/>
    <w:rsid w:val="001B17F4"/>
    <w:rsid w:val="001B22EC"/>
    <w:rsid w:val="001B23C4"/>
    <w:rsid w:val="001B2C86"/>
    <w:rsid w:val="001B33B9"/>
    <w:rsid w:val="001B3C1E"/>
    <w:rsid w:val="001B5A90"/>
    <w:rsid w:val="001B5D2B"/>
    <w:rsid w:val="001B7F5D"/>
    <w:rsid w:val="001B7FAB"/>
    <w:rsid w:val="001C0D40"/>
    <w:rsid w:val="001C1022"/>
    <w:rsid w:val="001C1893"/>
    <w:rsid w:val="001C26DE"/>
    <w:rsid w:val="001C2CB8"/>
    <w:rsid w:val="001C3F26"/>
    <w:rsid w:val="001C58D8"/>
    <w:rsid w:val="001C73BD"/>
    <w:rsid w:val="001D2613"/>
    <w:rsid w:val="001D2D3E"/>
    <w:rsid w:val="001D3177"/>
    <w:rsid w:val="001D33D1"/>
    <w:rsid w:val="001D5732"/>
    <w:rsid w:val="001D5764"/>
    <w:rsid w:val="001D66AC"/>
    <w:rsid w:val="001D6A69"/>
    <w:rsid w:val="001D74C8"/>
    <w:rsid w:val="001D7924"/>
    <w:rsid w:val="001D7941"/>
    <w:rsid w:val="001D7F58"/>
    <w:rsid w:val="001E0E03"/>
    <w:rsid w:val="001E184B"/>
    <w:rsid w:val="001E1918"/>
    <w:rsid w:val="001E1B28"/>
    <w:rsid w:val="001E2042"/>
    <w:rsid w:val="001E2B34"/>
    <w:rsid w:val="001E3ECB"/>
    <w:rsid w:val="001E42CC"/>
    <w:rsid w:val="001E4A75"/>
    <w:rsid w:val="001E4FAB"/>
    <w:rsid w:val="001E5791"/>
    <w:rsid w:val="001E5EE5"/>
    <w:rsid w:val="001E6137"/>
    <w:rsid w:val="001E67B0"/>
    <w:rsid w:val="001E692A"/>
    <w:rsid w:val="001E7EE5"/>
    <w:rsid w:val="001F1EAE"/>
    <w:rsid w:val="001F28FB"/>
    <w:rsid w:val="001F3244"/>
    <w:rsid w:val="001F3AAD"/>
    <w:rsid w:val="001F5C58"/>
    <w:rsid w:val="001F6512"/>
    <w:rsid w:val="001F7B4B"/>
    <w:rsid w:val="00200D68"/>
    <w:rsid w:val="002013FC"/>
    <w:rsid w:val="00202F58"/>
    <w:rsid w:val="00203987"/>
    <w:rsid w:val="00203C09"/>
    <w:rsid w:val="002040DC"/>
    <w:rsid w:val="00206C32"/>
    <w:rsid w:val="00207193"/>
    <w:rsid w:val="00210268"/>
    <w:rsid w:val="0021146A"/>
    <w:rsid w:val="00212270"/>
    <w:rsid w:val="00212D0A"/>
    <w:rsid w:val="002132DF"/>
    <w:rsid w:val="00215FF7"/>
    <w:rsid w:val="00216E2B"/>
    <w:rsid w:val="00217839"/>
    <w:rsid w:val="00221364"/>
    <w:rsid w:val="00221E03"/>
    <w:rsid w:val="00224513"/>
    <w:rsid w:val="002246C8"/>
    <w:rsid w:val="002247E6"/>
    <w:rsid w:val="00225A70"/>
    <w:rsid w:val="00230179"/>
    <w:rsid w:val="00230E8C"/>
    <w:rsid w:val="00231B1E"/>
    <w:rsid w:val="00232CFF"/>
    <w:rsid w:val="00233631"/>
    <w:rsid w:val="00235508"/>
    <w:rsid w:val="00235559"/>
    <w:rsid w:val="0023559E"/>
    <w:rsid w:val="00236EDD"/>
    <w:rsid w:val="0024192D"/>
    <w:rsid w:val="00243625"/>
    <w:rsid w:val="00243BBB"/>
    <w:rsid w:val="00243E9F"/>
    <w:rsid w:val="00243F2E"/>
    <w:rsid w:val="00244A7A"/>
    <w:rsid w:val="00244E5F"/>
    <w:rsid w:val="00246EFA"/>
    <w:rsid w:val="00250478"/>
    <w:rsid w:val="00250F1C"/>
    <w:rsid w:val="00251884"/>
    <w:rsid w:val="00251A3B"/>
    <w:rsid w:val="00252011"/>
    <w:rsid w:val="002520D3"/>
    <w:rsid w:val="0025339F"/>
    <w:rsid w:val="00254329"/>
    <w:rsid w:val="00254AE3"/>
    <w:rsid w:val="00254C6F"/>
    <w:rsid w:val="0025584E"/>
    <w:rsid w:val="00255F67"/>
    <w:rsid w:val="0025621D"/>
    <w:rsid w:val="0025686F"/>
    <w:rsid w:val="002579C7"/>
    <w:rsid w:val="002602C8"/>
    <w:rsid w:val="00260AED"/>
    <w:rsid w:val="0026186C"/>
    <w:rsid w:val="00262E2C"/>
    <w:rsid w:val="0026338B"/>
    <w:rsid w:val="00263B7F"/>
    <w:rsid w:val="00263E6D"/>
    <w:rsid w:val="0026428A"/>
    <w:rsid w:val="002666E3"/>
    <w:rsid w:val="0026737A"/>
    <w:rsid w:val="002677A9"/>
    <w:rsid w:val="00271F8D"/>
    <w:rsid w:val="0027325E"/>
    <w:rsid w:val="00273452"/>
    <w:rsid w:val="00273860"/>
    <w:rsid w:val="00273DD7"/>
    <w:rsid w:val="0027403E"/>
    <w:rsid w:val="00274D70"/>
    <w:rsid w:val="00276303"/>
    <w:rsid w:val="002772FE"/>
    <w:rsid w:val="0027788E"/>
    <w:rsid w:val="00277D30"/>
    <w:rsid w:val="002800F6"/>
    <w:rsid w:val="0028200D"/>
    <w:rsid w:val="002839E9"/>
    <w:rsid w:val="0028414B"/>
    <w:rsid w:val="002903D2"/>
    <w:rsid w:val="00291C8E"/>
    <w:rsid w:val="00291E2D"/>
    <w:rsid w:val="002933DC"/>
    <w:rsid w:val="002936BE"/>
    <w:rsid w:val="00293799"/>
    <w:rsid w:val="002938B7"/>
    <w:rsid w:val="002939A5"/>
    <w:rsid w:val="0029400F"/>
    <w:rsid w:val="00295009"/>
    <w:rsid w:val="00296433"/>
    <w:rsid w:val="00296841"/>
    <w:rsid w:val="002969A3"/>
    <w:rsid w:val="00297496"/>
    <w:rsid w:val="00297747"/>
    <w:rsid w:val="002977F6"/>
    <w:rsid w:val="002A0291"/>
    <w:rsid w:val="002A02B4"/>
    <w:rsid w:val="002A1AC0"/>
    <w:rsid w:val="002A2DFF"/>
    <w:rsid w:val="002A2FE8"/>
    <w:rsid w:val="002A314B"/>
    <w:rsid w:val="002A35FB"/>
    <w:rsid w:val="002A5EE1"/>
    <w:rsid w:val="002A6080"/>
    <w:rsid w:val="002A625A"/>
    <w:rsid w:val="002A6BC1"/>
    <w:rsid w:val="002B0DF0"/>
    <w:rsid w:val="002B1BFF"/>
    <w:rsid w:val="002B2272"/>
    <w:rsid w:val="002B25E9"/>
    <w:rsid w:val="002B3296"/>
    <w:rsid w:val="002B35FF"/>
    <w:rsid w:val="002B4705"/>
    <w:rsid w:val="002B4B01"/>
    <w:rsid w:val="002B56C1"/>
    <w:rsid w:val="002B6099"/>
    <w:rsid w:val="002C0395"/>
    <w:rsid w:val="002C1BB8"/>
    <w:rsid w:val="002C2D13"/>
    <w:rsid w:val="002C6711"/>
    <w:rsid w:val="002C6A21"/>
    <w:rsid w:val="002C7335"/>
    <w:rsid w:val="002D2A7F"/>
    <w:rsid w:val="002D2DC5"/>
    <w:rsid w:val="002D381E"/>
    <w:rsid w:val="002D442B"/>
    <w:rsid w:val="002D4559"/>
    <w:rsid w:val="002D4945"/>
    <w:rsid w:val="002D4CEA"/>
    <w:rsid w:val="002D5374"/>
    <w:rsid w:val="002D5D41"/>
    <w:rsid w:val="002D6BE4"/>
    <w:rsid w:val="002D6E71"/>
    <w:rsid w:val="002D6E9C"/>
    <w:rsid w:val="002D7724"/>
    <w:rsid w:val="002E10ED"/>
    <w:rsid w:val="002E1BA2"/>
    <w:rsid w:val="002E2355"/>
    <w:rsid w:val="002E2BC1"/>
    <w:rsid w:val="002E3257"/>
    <w:rsid w:val="002E4D09"/>
    <w:rsid w:val="002E4F6F"/>
    <w:rsid w:val="002E5F1F"/>
    <w:rsid w:val="002E5F62"/>
    <w:rsid w:val="002E6939"/>
    <w:rsid w:val="002E6B0E"/>
    <w:rsid w:val="002E6F50"/>
    <w:rsid w:val="002E6F69"/>
    <w:rsid w:val="002E7257"/>
    <w:rsid w:val="002F068E"/>
    <w:rsid w:val="002F0C3E"/>
    <w:rsid w:val="002F20C8"/>
    <w:rsid w:val="002F4B1D"/>
    <w:rsid w:val="002F555F"/>
    <w:rsid w:val="002F6257"/>
    <w:rsid w:val="002F66CE"/>
    <w:rsid w:val="002F7B40"/>
    <w:rsid w:val="0030008F"/>
    <w:rsid w:val="00300736"/>
    <w:rsid w:val="00301FF5"/>
    <w:rsid w:val="003026CC"/>
    <w:rsid w:val="00302DF7"/>
    <w:rsid w:val="003039A4"/>
    <w:rsid w:val="003048B8"/>
    <w:rsid w:val="003050E7"/>
    <w:rsid w:val="00305F5B"/>
    <w:rsid w:val="003062FF"/>
    <w:rsid w:val="00310F7E"/>
    <w:rsid w:val="003112B9"/>
    <w:rsid w:val="00312486"/>
    <w:rsid w:val="003125FD"/>
    <w:rsid w:val="00313F34"/>
    <w:rsid w:val="003140C1"/>
    <w:rsid w:val="0031531E"/>
    <w:rsid w:val="00315B13"/>
    <w:rsid w:val="00316812"/>
    <w:rsid w:val="0031686A"/>
    <w:rsid w:val="003178DE"/>
    <w:rsid w:val="0032040A"/>
    <w:rsid w:val="003207F5"/>
    <w:rsid w:val="003213C7"/>
    <w:rsid w:val="00321775"/>
    <w:rsid w:val="00322146"/>
    <w:rsid w:val="00322221"/>
    <w:rsid w:val="003238FE"/>
    <w:rsid w:val="0032425C"/>
    <w:rsid w:val="00325DA2"/>
    <w:rsid w:val="00326F8D"/>
    <w:rsid w:val="00327B42"/>
    <w:rsid w:val="00331519"/>
    <w:rsid w:val="00331B0A"/>
    <w:rsid w:val="00331B12"/>
    <w:rsid w:val="0033261D"/>
    <w:rsid w:val="00333FE3"/>
    <w:rsid w:val="00337AFF"/>
    <w:rsid w:val="003401F0"/>
    <w:rsid w:val="0034025A"/>
    <w:rsid w:val="00341B84"/>
    <w:rsid w:val="00342396"/>
    <w:rsid w:val="00343654"/>
    <w:rsid w:val="003453E0"/>
    <w:rsid w:val="0034619F"/>
    <w:rsid w:val="00346285"/>
    <w:rsid w:val="00346BBF"/>
    <w:rsid w:val="00347093"/>
    <w:rsid w:val="003472F8"/>
    <w:rsid w:val="00347707"/>
    <w:rsid w:val="0034797E"/>
    <w:rsid w:val="003479E9"/>
    <w:rsid w:val="00351128"/>
    <w:rsid w:val="00351545"/>
    <w:rsid w:val="00351C0A"/>
    <w:rsid w:val="003531CF"/>
    <w:rsid w:val="00353457"/>
    <w:rsid w:val="003535A5"/>
    <w:rsid w:val="0035383D"/>
    <w:rsid w:val="00354BBC"/>
    <w:rsid w:val="0035552D"/>
    <w:rsid w:val="00356FBD"/>
    <w:rsid w:val="0035711F"/>
    <w:rsid w:val="003573FC"/>
    <w:rsid w:val="00360520"/>
    <w:rsid w:val="00360A38"/>
    <w:rsid w:val="00361FED"/>
    <w:rsid w:val="00362A33"/>
    <w:rsid w:val="00366EBF"/>
    <w:rsid w:val="00367CD1"/>
    <w:rsid w:val="00370E67"/>
    <w:rsid w:val="0037187F"/>
    <w:rsid w:val="00371F8A"/>
    <w:rsid w:val="00371FD8"/>
    <w:rsid w:val="0037243D"/>
    <w:rsid w:val="00373883"/>
    <w:rsid w:val="003745D4"/>
    <w:rsid w:val="00376F62"/>
    <w:rsid w:val="00377105"/>
    <w:rsid w:val="0037731D"/>
    <w:rsid w:val="003814B2"/>
    <w:rsid w:val="003832BA"/>
    <w:rsid w:val="003834A4"/>
    <w:rsid w:val="00383733"/>
    <w:rsid w:val="00384140"/>
    <w:rsid w:val="003844CD"/>
    <w:rsid w:val="0038504A"/>
    <w:rsid w:val="003854C6"/>
    <w:rsid w:val="003865B9"/>
    <w:rsid w:val="00386804"/>
    <w:rsid w:val="003873EC"/>
    <w:rsid w:val="00387735"/>
    <w:rsid w:val="00390AB7"/>
    <w:rsid w:val="003920EF"/>
    <w:rsid w:val="00394F54"/>
    <w:rsid w:val="00394FAC"/>
    <w:rsid w:val="00396AAB"/>
    <w:rsid w:val="00397237"/>
    <w:rsid w:val="003A05A2"/>
    <w:rsid w:val="003A06AF"/>
    <w:rsid w:val="003A11F7"/>
    <w:rsid w:val="003A1835"/>
    <w:rsid w:val="003A28B9"/>
    <w:rsid w:val="003A3679"/>
    <w:rsid w:val="003A69EF"/>
    <w:rsid w:val="003A6B0F"/>
    <w:rsid w:val="003A6FAE"/>
    <w:rsid w:val="003B0E2E"/>
    <w:rsid w:val="003B1E4C"/>
    <w:rsid w:val="003B1FC5"/>
    <w:rsid w:val="003B42C6"/>
    <w:rsid w:val="003B4B38"/>
    <w:rsid w:val="003B639E"/>
    <w:rsid w:val="003C155C"/>
    <w:rsid w:val="003C2436"/>
    <w:rsid w:val="003C3CFA"/>
    <w:rsid w:val="003C5D8B"/>
    <w:rsid w:val="003D0580"/>
    <w:rsid w:val="003D08EE"/>
    <w:rsid w:val="003D0FFD"/>
    <w:rsid w:val="003D13A7"/>
    <w:rsid w:val="003D13B2"/>
    <w:rsid w:val="003D1878"/>
    <w:rsid w:val="003D2A55"/>
    <w:rsid w:val="003D3439"/>
    <w:rsid w:val="003D34B7"/>
    <w:rsid w:val="003D41FC"/>
    <w:rsid w:val="003D442B"/>
    <w:rsid w:val="003D45BC"/>
    <w:rsid w:val="003D4B62"/>
    <w:rsid w:val="003D51CA"/>
    <w:rsid w:val="003D524A"/>
    <w:rsid w:val="003D67B3"/>
    <w:rsid w:val="003D6802"/>
    <w:rsid w:val="003D6980"/>
    <w:rsid w:val="003D7968"/>
    <w:rsid w:val="003D7BE4"/>
    <w:rsid w:val="003D7D31"/>
    <w:rsid w:val="003D7E3F"/>
    <w:rsid w:val="003E0BD9"/>
    <w:rsid w:val="003E18AF"/>
    <w:rsid w:val="003E1D94"/>
    <w:rsid w:val="003E2148"/>
    <w:rsid w:val="003E2641"/>
    <w:rsid w:val="003E2AA2"/>
    <w:rsid w:val="003E3952"/>
    <w:rsid w:val="003E40D6"/>
    <w:rsid w:val="003E5BA6"/>
    <w:rsid w:val="003E6E46"/>
    <w:rsid w:val="003E6F22"/>
    <w:rsid w:val="003E79EB"/>
    <w:rsid w:val="003E7D79"/>
    <w:rsid w:val="003F1279"/>
    <w:rsid w:val="003F12FB"/>
    <w:rsid w:val="003F1794"/>
    <w:rsid w:val="003F21FC"/>
    <w:rsid w:val="003F264B"/>
    <w:rsid w:val="003F2BDE"/>
    <w:rsid w:val="003F3427"/>
    <w:rsid w:val="003F36AE"/>
    <w:rsid w:val="003F38F7"/>
    <w:rsid w:val="003F3C91"/>
    <w:rsid w:val="003F3F41"/>
    <w:rsid w:val="003F4AA5"/>
    <w:rsid w:val="003F4F6E"/>
    <w:rsid w:val="003F5ABF"/>
    <w:rsid w:val="003F5DA4"/>
    <w:rsid w:val="003F65A9"/>
    <w:rsid w:val="003F679E"/>
    <w:rsid w:val="003F77D5"/>
    <w:rsid w:val="003F7C1A"/>
    <w:rsid w:val="00400961"/>
    <w:rsid w:val="00400991"/>
    <w:rsid w:val="00400D5B"/>
    <w:rsid w:val="00401342"/>
    <w:rsid w:val="00402692"/>
    <w:rsid w:val="00404CBA"/>
    <w:rsid w:val="004067D5"/>
    <w:rsid w:val="00406E0B"/>
    <w:rsid w:val="00407C3B"/>
    <w:rsid w:val="00410EE8"/>
    <w:rsid w:val="00410F20"/>
    <w:rsid w:val="00412B59"/>
    <w:rsid w:val="00413CF3"/>
    <w:rsid w:val="00415063"/>
    <w:rsid w:val="00415676"/>
    <w:rsid w:val="004164F3"/>
    <w:rsid w:val="00416996"/>
    <w:rsid w:val="004200A9"/>
    <w:rsid w:val="00420D9C"/>
    <w:rsid w:val="00421C3C"/>
    <w:rsid w:val="00425E93"/>
    <w:rsid w:val="00426985"/>
    <w:rsid w:val="0042698B"/>
    <w:rsid w:val="00430C7C"/>
    <w:rsid w:val="00433794"/>
    <w:rsid w:val="00433968"/>
    <w:rsid w:val="00433CC4"/>
    <w:rsid w:val="00434F97"/>
    <w:rsid w:val="00435896"/>
    <w:rsid w:val="0043751F"/>
    <w:rsid w:val="00437754"/>
    <w:rsid w:val="00440DEC"/>
    <w:rsid w:val="004416A5"/>
    <w:rsid w:val="004428C2"/>
    <w:rsid w:val="00442B90"/>
    <w:rsid w:val="00443541"/>
    <w:rsid w:val="004438EE"/>
    <w:rsid w:val="00444902"/>
    <w:rsid w:val="004461A8"/>
    <w:rsid w:val="00446487"/>
    <w:rsid w:val="00446DA2"/>
    <w:rsid w:val="004478C4"/>
    <w:rsid w:val="004500EC"/>
    <w:rsid w:val="0045139F"/>
    <w:rsid w:val="00451BBD"/>
    <w:rsid w:val="004522F0"/>
    <w:rsid w:val="00452948"/>
    <w:rsid w:val="00453A9C"/>
    <w:rsid w:val="00453C7D"/>
    <w:rsid w:val="004545DB"/>
    <w:rsid w:val="00454D38"/>
    <w:rsid w:val="004551AD"/>
    <w:rsid w:val="0045526C"/>
    <w:rsid w:val="00456C10"/>
    <w:rsid w:val="00457886"/>
    <w:rsid w:val="004603D6"/>
    <w:rsid w:val="0046057A"/>
    <w:rsid w:val="004611A2"/>
    <w:rsid w:val="00462C63"/>
    <w:rsid w:val="00463C89"/>
    <w:rsid w:val="00463E66"/>
    <w:rsid w:val="00464B00"/>
    <w:rsid w:val="00465182"/>
    <w:rsid w:val="004659EE"/>
    <w:rsid w:val="00465F89"/>
    <w:rsid w:val="00466393"/>
    <w:rsid w:val="004669B7"/>
    <w:rsid w:val="00466E82"/>
    <w:rsid w:val="00467C48"/>
    <w:rsid w:val="00470E4A"/>
    <w:rsid w:val="00471219"/>
    <w:rsid w:val="0047375E"/>
    <w:rsid w:val="00474A47"/>
    <w:rsid w:val="00481B30"/>
    <w:rsid w:val="00481CAB"/>
    <w:rsid w:val="00481F2B"/>
    <w:rsid w:val="00482839"/>
    <w:rsid w:val="00482E62"/>
    <w:rsid w:val="00483E81"/>
    <w:rsid w:val="00484171"/>
    <w:rsid w:val="004858A6"/>
    <w:rsid w:val="00485B94"/>
    <w:rsid w:val="00486BFE"/>
    <w:rsid w:val="00486C0D"/>
    <w:rsid w:val="0048794B"/>
    <w:rsid w:val="00487B68"/>
    <w:rsid w:val="00487EC0"/>
    <w:rsid w:val="0049013C"/>
    <w:rsid w:val="00491114"/>
    <w:rsid w:val="00491CEC"/>
    <w:rsid w:val="00491D3D"/>
    <w:rsid w:val="00491E0E"/>
    <w:rsid w:val="00495290"/>
    <w:rsid w:val="00496D4A"/>
    <w:rsid w:val="00497AB0"/>
    <w:rsid w:val="00497CD3"/>
    <w:rsid w:val="00497E4B"/>
    <w:rsid w:val="004A0ECF"/>
    <w:rsid w:val="004A1F41"/>
    <w:rsid w:val="004A2139"/>
    <w:rsid w:val="004A216C"/>
    <w:rsid w:val="004A24AC"/>
    <w:rsid w:val="004A2B7B"/>
    <w:rsid w:val="004A31D5"/>
    <w:rsid w:val="004A32D5"/>
    <w:rsid w:val="004A453B"/>
    <w:rsid w:val="004A4F35"/>
    <w:rsid w:val="004A71B4"/>
    <w:rsid w:val="004A72F1"/>
    <w:rsid w:val="004B02CD"/>
    <w:rsid w:val="004B042E"/>
    <w:rsid w:val="004B16AA"/>
    <w:rsid w:val="004B267B"/>
    <w:rsid w:val="004B28E8"/>
    <w:rsid w:val="004B56B3"/>
    <w:rsid w:val="004B7F29"/>
    <w:rsid w:val="004C0191"/>
    <w:rsid w:val="004C0E02"/>
    <w:rsid w:val="004C1686"/>
    <w:rsid w:val="004C589A"/>
    <w:rsid w:val="004C6E87"/>
    <w:rsid w:val="004C7129"/>
    <w:rsid w:val="004D00ED"/>
    <w:rsid w:val="004D020C"/>
    <w:rsid w:val="004D0D28"/>
    <w:rsid w:val="004D33A9"/>
    <w:rsid w:val="004D4C89"/>
    <w:rsid w:val="004D69A6"/>
    <w:rsid w:val="004D6CA2"/>
    <w:rsid w:val="004D787D"/>
    <w:rsid w:val="004E108C"/>
    <w:rsid w:val="004E1533"/>
    <w:rsid w:val="004E1B96"/>
    <w:rsid w:val="004E1FC1"/>
    <w:rsid w:val="004E24A5"/>
    <w:rsid w:val="004E2B84"/>
    <w:rsid w:val="004E4A19"/>
    <w:rsid w:val="004E5F57"/>
    <w:rsid w:val="004E7BEA"/>
    <w:rsid w:val="004F02E6"/>
    <w:rsid w:val="004F0A41"/>
    <w:rsid w:val="004F25CD"/>
    <w:rsid w:val="004F2836"/>
    <w:rsid w:val="004F29FD"/>
    <w:rsid w:val="004F47E6"/>
    <w:rsid w:val="004F68F4"/>
    <w:rsid w:val="004F709D"/>
    <w:rsid w:val="004F79D2"/>
    <w:rsid w:val="005010D1"/>
    <w:rsid w:val="00501A41"/>
    <w:rsid w:val="0050258F"/>
    <w:rsid w:val="005028BB"/>
    <w:rsid w:val="00503444"/>
    <w:rsid w:val="00503D33"/>
    <w:rsid w:val="005046EA"/>
    <w:rsid w:val="00504F95"/>
    <w:rsid w:val="00505912"/>
    <w:rsid w:val="00506ECC"/>
    <w:rsid w:val="00511E72"/>
    <w:rsid w:val="0051212A"/>
    <w:rsid w:val="00512D5E"/>
    <w:rsid w:val="00513A90"/>
    <w:rsid w:val="00514237"/>
    <w:rsid w:val="00515138"/>
    <w:rsid w:val="00515730"/>
    <w:rsid w:val="005159E1"/>
    <w:rsid w:val="00516736"/>
    <w:rsid w:val="00520155"/>
    <w:rsid w:val="005205D2"/>
    <w:rsid w:val="0052144A"/>
    <w:rsid w:val="005233D7"/>
    <w:rsid w:val="00524160"/>
    <w:rsid w:val="00524444"/>
    <w:rsid w:val="005248DF"/>
    <w:rsid w:val="00524AD9"/>
    <w:rsid w:val="00524D57"/>
    <w:rsid w:val="005258C6"/>
    <w:rsid w:val="00525C4F"/>
    <w:rsid w:val="00526B70"/>
    <w:rsid w:val="00526F5A"/>
    <w:rsid w:val="00527D7C"/>
    <w:rsid w:val="00530655"/>
    <w:rsid w:val="00531389"/>
    <w:rsid w:val="0053191B"/>
    <w:rsid w:val="00532B72"/>
    <w:rsid w:val="00533A32"/>
    <w:rsid w:val="00533B8F"/>
    <w:rsid w:val="00534B92"/>
    <w:rsid w:val="00535842"/>
    <w:rsid w:val="0053644C"/>
    <w:rsid w:val="00536B10"/>
    <w:rsid w:val="00541C33"/>
    <w:rsid w:val="00543ACB"/>
    <w:rsid w:val="005448C8"/>
    <w:rsid w:val="00545B27"/>
    <w:rsid w:val="00545FAA"/>
    <w:rsid w:val="00546135"/>
    <w:rsid w:val="0054689A"/>
    <w:rsid w:val="00547E3E"/>
    <w:rsid w:val="00550C32"/>
    <w:rsid w:val="005521F5"/>
    <w:rsid w:val="0055274B"/>
    <w:rsid w:val="00553D94"/>
    <w:rsid w:val="00554E1B"/>
    <w:rsid w:val="00555331"/>
    <w:rsid w:val="0055554D"/>
    <w:rsid w:val="005562D3"/>
    <w:rsid w:val="00556C1C"/>
    <w:rsid w:val="00556D19"/>
    <w:rsid w:val="00557133"/>
    <w:rsid w:val="0056067D"/>
    <w:rsid w:val="00560C8D"/>
    <w:rsid w:val="00561D0E"/>
    <w:rsid w:val="00561D9A"/>
    <w:rsid w:val="00563782"/>
    <w:rsid w:val="00564770"/>
    <w:rsid w:val="0056571E"/>
    <w:rsid w:val="005660CE"/>
    <w:rsid w:val="00566CEE"/>
    <w:rsid w:val="00566F53"/>
    <w:rsid w:val="00567B5F"/>
    <w:rsid w:val="00571281"/>
    <w:rsid w:val="00571CC5"/>
    <w:rsid w:val="00572A0C"/>
    <w:rsid w:val="00574CEE"/>
    <w:rsid w:val="00575516"/>
    <w:rsid w:val="005755FB"/>
    <w:rsid w:val="005768DD"/>
    <w:rsid w:val="00576AD6"/>
    <w:rsid w:val="005778D6"/>
    <w:rsid w:val="00577AE2"/>
    <w:rsid w:val="00582C8F"/>
    <w:rsid w:val="00583AE9"/>
    <w:rsid w:val="00583CCF"/>
    <w:rsid w:val="00584B5C"/>
    <w:rsid w:val="00584D01"/>
    <w:rsid w:val="00584EBA"/>
    <w:rsid w:val="00585A83"/>
    <w:rsid w:val="00586F63"/>
    <w:rsid w:val="005876E9"/>
    <w:rsid w:val="00587D51"/>
    <w:rsid w:val="00587F46"/>
    <w:rsid w:val="00590988"/>
    <w:rsid w:val="00590CDE"/>
    <w:rsid w:val="005918E2"/>
    <w:rsid w:val="00591AB6"/>
    <w:rsid w:val="00591CD1"/>
    <w:rsid w:val="0059370F"/>
    <w:rsid w:val="00593EA1"/>
    <w:rsid w:val="0059448E"/>
    <w:rsid w:val="00594C1D"/>
    <w:rsid w:val="005952BE"/>
    <w:rsid w:val="00595469"/>
    <w:rsid w:val="005954DD"/>
    <w:rsid w:val="00596E57"/>
    <w:rsid w:val="00596F5D"/>
    <w:rsid w:val="00597816"/>
    <w:rsid w:val="00597B7E"/>
    <w:rsid w:val="005A01F2"/>
    <w:rsid w:val="005A0FE6"/>
    <w:rsid w:val="005A120C"/>
    <w:rsid w:val="005A14AD"/>
    <w:rsid w:val="005A2B47"/>
    <w:rsid w:val="005A7BDA"/>
    <w:rsid w:val="005B05F3"/>
    <w:rsid w:val="005B12AE"/>
    <w:rsid w:val="005B1A10"/>
    <w:rsid w:val="005B1A44"/>
    <w:rsid w:val="005B2324"/>
    <w:rsid w:val="005B30F1"/>
    <w:rsid w:val="005B550E"/>
    <w:rsid w:val="005B5B1D"/>
    <w:rsid w:val="005B5BBC"/>
    <w:rsid w:val="005C1DE5"/>
    <w:rsid w:val="005C4B31"/>
    <w:rsid w:val="005C4B5C"/>
    <w:rsid w:val="005C5A0A"/>
    <w:rsid w:val="005C610E"/>
    <w:rsid w:val="005C7B04"/>
    <w:rsid w:val="005D0886"/>
    <w:rsid w:val="005D15BA"/>
    <w:rsid w:val="005D1A05"/>
    <w:rsid w:val="005D2557"/>
    <w:rsid w:val="005D4A54"/>
    <w:rsid w:val="005D5EF0"/>
    <w:rsid w:val="005D681A"/>
    <w:rsid w:val="005D72B2"/>
    <w:rsid w:val="005E094B"/>
    <w:rsid w:val="005E0ED3"/>
    <w:rsid w:val="005E116F"/>
    <w:rsid w:val="005E197F"/>
    <w:rsid w:val="005E27EF"/>
    <w:rsid w:val="005E3A16"/>
    <w:rsid w:val="005E5057"/>
    <w:rsid w:val="005E6CF9"/>
    <w:rsid w:val="005E700B"/>
    <w:rsid w:val="005E7445"/>
    <w:rsid w:val="005F2791"/>
    <w:rsid w:val="005F33F7"/>
    <w:rsid w:val="005F3854"/>
    <w:rsid w:val="005F4499"/>
    <w:rsid w:val="005F4A81"/>
    <w:rsid w:val="005F54FB"/>
    <w:rsid w:val="005F6300"/>
    <w:rsid w:val="005F7722"/>
    <w:rsid w:val="005F7B19"/>
    <w:rsid w:val="00600961"/>
    <w:rsid w:val="006011E5"/>
    <w:rsid w:val="00601BD1"/>
    <w:rsid w:val="0060244F"/>
    <w:rsid w:val="00602EAD"/>
    <w:rsid w:val="00603121"/>
    <w:rsid w:val="006039BE"/>
    <w:rsid w:val="00604CE3"/>
    <w:rsid w:val="00604F14"/>
    <w:rsid w:val="0060774F"/>
    <w:rsid w:val="0061146C"/>
    <w:rsid w:val="0061182E"/>
    <w:rsid w:val="00613B35"/>
    <w:rsid w:val="0061415F"/>
    <w:rsid w:val="00614FA3"/>
    <w:rsid w:val="00615AFF"/>
    <w:rsid w:val="006178D6"/>
    <w:rsid w:val="00620E2B"/>
    <w:rsid w:val="00621EAC"/>
    <w:rsid w:val="006232FD"/>
    <w:rsid w:val="006245D4"/>
    <w:rsid w:val="006254C6"/>
    <w:rsid w:val="00625A7A"/>
    <w:rsid w:val="00625B10"/>
    <w:rsid w:val="00625C67"/>
    <w:rsid w:val="006272BF"/>
    <w:rsid w:val="00627A4F"/>
    <w:rsid w:val="0063090C"/>
    <w:rsid w:val="006319DF"/>
    <w:rsid w:val="006326FA"/>
    <w:rsid w:val="00633FD7"/>
    <w:rsid w:val="006343D3"/>
    <w:rsid w:val="00634472"/>
    <w:rsid w:val="00634DF1"/>
    <w:rsid w:val="006378E1"/>
    <w:rsid w:val="00637BB8"/>
    <w:rsid w:val="00640480"/>
    <w:rsid w:val="0064208E"/>
    <w:rsid w:val="006440BE"/>
    <w:rsid w:val="0064431A"/>
    <w:rsid w:val="00644A8A"/>
    <w:rsid w:val="00644D2E"/>
    <w:rsid w:val="00644EB7"/>
    <w:rsid w:val="0064612B"/>
    <w:rsid w:val="006461C6"/>
    <w:rsid w:val="00646EDC"/>
    <w:rsid w:val="006475FF"/>
    <w:rsid w:val="00647E9B"/>
    <w:rsid w:val="0065034A"/>
    <w:rsid w:val="00650528"/>
    <w:rsid w:val="006507A6"/>
    <w:rsid w:val="00651E92"/>
    <w:rsid w:val="00652204"/>
    <w:rsid w:val="00652432"/>
    <w:rsid w:val="00652573"/>
    <w:rsid w:val="00654BE7"/>
    <w:rsid w:val="006567A8"/>
    <w:rsid w:val="006568DB"/>
    <w:rsid w:val="006571D0"/>
    <w:rsid w:val="0065787E"/>
    <w:rsid w:val="00657E89"/>
    <w:rsid w:val="00660943"/>
    <w:rsid w:val="006614E0"/>
    <w:rsid w:val="00662AA7"/>
    <w:rsid w:val="00663271"/>
    <w:rsid w:val="00665BD9"/>
    <w:rsid w:val="00666A43"/>
    <w:rsid w:val="0066783E"/>
    <w:rsid w:val="00667E61"/>
    <w:rsid w:val="006713D5"/>
    <w:rsid w:val="00671C89"/>
    <w:rsid w:val="006738B0"/>
    <w:rsid w:val="00674975"/>
    <w:rsid w:val="0067529E"/>
    <w:rsid w:val="00677131"/>
    <w:rsid w:val="006812E4"/>
    <w:rsid w:val="00683700"/>
    <w:rsid w:val="0068461D"/>
    <w:rsid w:val="00684BFE"/>
    <w:rsid w:val="006855E7"/>
    <w:rsid w:val="00687C9D"/>
    <w:rsid w:val="00690819"/>
    <w:rsid w:val="00691513"/>
    <w:rsid w:val="0069190F"/>
    <w:rsid w:val="0069325D"/>
    <w:rsid w:val="0069439E"/>
    <w:rsid w:val="006959B2"/>
    <w:rsid w:val="00696767"/>
    <w:rsid w:val="006A0D05"/>
    <w:rsid w:val="006A0D42"/>
    <w:rsid w:val="006A153B"/>
    <w:rsid w:val="006A24C2"/>
    <w:rsid w:val="006A3B6E"/>
    <w:rsid w:val="006A4C1B"/>
    <w:rsid w:val="006A5EED"/>
    <w:rsid w:val="006A5F74"/>
    <w:rsid w:val="006A6050"/>
    <w:rsid w:val="006A62FC"/>
    <w:rsid w:val="006B06D0"/>
    <w:rsid w:val="006B0CA5"/>
    <w:rsid w:val="006B0F90"/>
    <w:rsid w:val="006B1BE0"/>
    <w:rsid w:val="006B245F"/>
    <w:rsid w:val="006B2EC2"/>
    <w:rsid w:val="006B4157"/>
    <w:rsid w:val="006C0392"/>
    <w:rsid w:val="006C084B"/>
    <w:rsid w:val="006C1874"/>
    <w:rsid w:val="006C215F"/>
    <w:rsid w:val="006C2BE0"/>
    <w:rsid w:val="006C3C8D"/>
    <w:rsid w:val="006C5DFA"/>
    <w:rsid w:val="006C6C67"/>
    <w:rsid w:val="006D0008"/>
    <w:rsid w:val="006D0A5C"/>
    <w:rsid w:val="006D2856"/>
    <w:rsid w:val="006D2C6A"/>
    <w:rsid w:val="006D48C5"/>
    <w:rsid w:val="006D497B"/>
    <w:rsid w:val="006D4C6E"/>
    <w:rsid w:val="006D4E53"/>
    <w:rsid w:val="006D5C6D"/>
    <w:rsid w:val="006D658D"/>
    <w:rsid w:val="006D6B9F"/>
    <w:rsid w:val="006E04A2"/>
    <w:rsid w:val="006E2A28"/>
    <w:rsid w:val="006E2B95"/>
    <w:rsid w:val="006E48B3"/>
    <w:rsid w:val="006E679C"/>
    <w:rsid w:val="006E7BAC"/>
    <w:rsid w:val="006F1395"/>
    <w:rsid w:val="006F1DA4"/>
    <w:rsid w:val="006F2741"/>
    <w:rsid w:val="006F3B1D"/>
    <w:rsid w:val="006F3F25"/>
    <w:rsid w:val="006F4E4C"/>
    <w:rsid w:val="006F52FE"/>
    <w:rsid w:val="006F704B"/>
    <w:rsid w:val="006F77DE"/>
    <w:rsid w:val="006F7BD7"/>
    <w:rsid w:val="00702578"/>
    <w:rsid w:val="007032FB"/>
    <w:rsid w:val="00703BB5"/>
    <w:rsid w:val="00704F8E"/>
    <w:rsid w:val="00706A50"/>
    <w:rsid w:val="007072A9"/>
    <w:rsid w:val="007073C7"/>
    <w:rsid w:val="007119B3"/>
    <w:rsid w:val="007158AC"/>
    <w:rsid w:val="00716471"/>
    <w:rsid w:val="007164A2"/>
    <w:rsid w:val="00716A5D"/>
    <w:rsid w:val="00716CBB"/>
    <w:rsid w:val="00716EB4"/>
    <w:rsid w:val="007177EF"/>
    <w:rsid w:val="0071783F"/>
    <w:rsid w:val="0071794D"/>
    <w:rsid w:val="00717BC9"/>
    <w:rsid w:val="00721080"/>
    <w:rsid w:val="0072115D"/>
    <w:rsid w:val="00721779"/>
    <w:rsid w:val="00722EB9"/>
    <w:rsid w:val="0072393D"/>
    <w:rsid w:val="00723E78"/>
    <w:rsid w:val="00724E72"/>
    <w:rsid w:val="00724F57"/>
    <w:rsid w:val="00725E9A"/>
    <w:rsid w:val="0072614C"/>
    <w:rsid w:val="00727196"/>
    <w:rsid w:val="007315EB"/>
    <w:rsid w:val="0073210E"/>
    <w:rsid w:val="00732912"/>
    <w:rsid w:val="00732BBE"/>
    <w:rsid w:val="0073352C"/>
    <w:rsid w:val="00733A57"/>
    <w:rsid w:val="00733C72"/>
    <w:rsid w:val="00733D32"/>
    <w:rsid w:val="007342D1"/>
    <w:rsid w:val="0073562C"/>
    <w:rsid w:val="007358F1"/>
    <w:rsid w:val="00736602"/>
    <w:rsid w:val="00736953"/>
    <w:rsid w:val="00736A36"/>
    <w:rsid w:val="00737208"/>
    <w:rsid w:val="00737D57"/>
    <w:rsid w:val="00740EF2"/>
    <w:rsid w:val="00741CD7"/>
    <w:rsid w:val="007421A2"/>
    <w:rsid w:val="007423AF"/>
    <w:rsid w:val="00743110"/>
    <w:rsid w:val="007444C6"/>
    <w:rsid w:val="00744A27"/>
    <w:rsid w:val="0074711F"/>
    <w:rsid w:val="00747650"/>
    <w:rsid w:val="00747B9C"/>
    <w:rsid w:val="00747F3B"/>
    <w:rsid w:val="00751387"/>
    <w:rsid w:val="007519CB"/>
    <w:rsid w:val="00752058"/>
    <w:rsid w:val="00752A14"/>
    <w:rsid w:val="00752D88"/>
    <w:rsid w:val="00753E80"/>
    <w:rsid w:val="007547F1"/>
    <w:rsid w:val="0075630F"/>
    <w:rsid w:val="00756940"/>
    <w:rsid w:val="00760BA1"/>
    <w:rsid w:val="00762AAA"/>
    <w:rsid w:val="0076361E"/>
    <w:rsid w:val="007650EB"/>
    <w:rsid w:val="007661DF"/>
    <w:rsid w:val="0076788F"/>
    <w:rsid w:val="00771477"/>
    <w:rsid w:val="0077204D"/>
    <w:rsid w:val="00772750"/>
    <w:rsid w:val="00772BD6"/>
    <w:rsid w:val="00773795"/>
    <w:rsid w:val="00775D73"/>
    <w:rsid w:val="007761CF"/>
    <w:rsid w:val="00776D60"/>
    <w:rsid w:val="007771BC"/>
    <w:rsid w:val="00777414"/>
    <w:rsid w:val="007778AD"/>
    <w:rsid w:val="00780036"/>
    <w:rsid w:val="00780316"/>
    <w:rsid w:val="007812E2"/>
    <w:rsid w:val="00782409"/>
    <w:rsid w:val="00782A8A"/>
    <w:rsid w:val="00782B99"/>
    <w:rsid w:val="00782D78"/>
    <w:rsid w:val="0078427A"/>
    <w:rsid w:val="0078439E"/>
    <w:rsid w:val="00784816"/>
    <w:rsid w:val="00784EC6"/>
    <w:rsid w:val="00785405"/>
    <w:rsid w:val="007856E0"/>
    <w:rsid w:val="00786DF1"/>
    <w:rsid w:val="00790093"/>
    <w:rsid w:val="00790D66"/>
    <w:rsid w:val="0079132A"/>
    <w:rsid w:val="00791D2E"/>
    <w:rsid w:val="0079241B"/>
    <w:rsid w:val="007936E0"/>
    <w:rsid w:val="00793E8E"/>
    <w:rsid w:val="00794230"/>
    <w:rsid w:val="007950F1"/>
    <w:rsid w:val="007960EE"/>
    <w:rsid w:val="00796BF5"/>
    <w:rsid w:val="00797543"/>
    <w:rsid w:val="0079785C"/>
    <w:rsid w:val="007A0298"/>
    <w:rsid w:val="007A089A"/>
    <w:rsid w:val="007A1D33"/>
    <w:rsid w:val="007A2387"/>
    <w:rsid w:val="007A278F"/>
    <w:rsid w:val="007A2F04"/>
    <w:rsid w:val="007A3231"/>
    <w:rsid w:val="007A41A8"/>
    <w:rsid w:val="007A435F"/>
    <w:rsid w:val="007A491D"/>
    <w:rsid w:val="007A4A75"/>
    <w:rsid w:val="007A54F3"/>
    <w:rsid w:val="007A5677"/>
    <w:rsid w:val="007A59F9"/>
    <w:rsid w:val="007A616F"/>
    <w:rsid w:val="007A6515"/>
    <w:rsid w:val="007A681E"/>
    <w:rsid w:val="007A69EC"/>
    <w:rsid w:val="007A6C1A"/>
    <w:rsid w:val="007A74EB"/>
    <w:rsid w:val="007B1600"/>
    <w:rsid w:val="007B18B4"/>
    <w:rsid w:val="007B4803"/>
    <w:rsid w:val="007B49FA"/>
    <w:rsid w:val="007B4FDF"/>
    <w:rsid w:val="007B6046"/>
    <w:rsid w:val="007B722B"/>
    <w:rsid w:val="007C059F"/>
    <w:rsid w:val="007C06F9"/>
    <w:rsid w:val="007C0AB7"/>
    <w:rsid w:val="007C0CBE"/>
    <w:rsid w:val="007C1A6C"/>
    <w:rsid w:val="007C3229"/>
    <w:rsid w:val="007C328F"/>
    <w:rsid w:val="007C4443"/>
    <w:rsid w:val="007C4445"/>
    <w:rsid w:val="007C45A7"/>
    <w:rsid w:val="007D013E"/>
    <w:rsid w:val="007D0BA6"/>
    <w:rsid w:val="007D0FD8"/>
    <w:rsid w:val="007D20C9"/>
    <w:rsid w:val="007D2B80"/>
    <w:rsid w:val="007D32F6"/>
    <w:rsid w:val="007D3CC1"/>
    <w:rsid w:val="007D50E1"/>
    <w:rsid w:val="007D54C1"/>
    <w:rsid w:val="007D5BF3"/>
    <w:rsid w:val="007D70E8"/>
    <w:rsid w:val="007D7895"/>
    <w:rsid w:val="007D7D9A"/>
    <w:rsid w:val="007E203D"/>
    <w:rsid w:val="007E21A7"/>
    <w:rsid w:val="007E2A70"/>
    <w:rsid w:val="007E3540"/>
    <w:rsid w:val="007E412D"/>
    <w:rsid w:val="007E4D1E"/>
    <w:rsid w:val="007E5EEB"/>
    <w:rsid w:val="007E6448"/>
    <w:rsid w:val="007E6E20"/>
    <w:rsid w:val="007E72DE"/>
    <w:rsid w:val="007E7CCC"/>
    <w:rsid w:val="007E7D70"/>
    <w:rsid w:val="007F0263"/>
    <w:rsid w:val="007F02C1"/>
    <w:rsid w:val="007F0AB8"/>
    <w:rsid w:val="007F138F"/>
    <w:rsid w:val="007F297F"/>
    <w:rsid w:val="007F393C"/>
    <w:rsid w:val="007F3C1A"/>
    <w:rsid w:val="007F4238"/>
    <w:rsid w:val="007F4393"/>
    <w:rsid w:val="007F449B"/>
    <w:rsid w:val="007F4DE2"/>
    <w:rsid w:val="007F52B6"/>
    <w:rsid w:val="007F620A"/>
    <w:rsid w:val="007F6E07"/>
    <w:rsid w:val="008016DF"/>
    <w:rsid w:val="00801EE3"/>
    <w:rsid w:val="00803A03"/>
    <w:rsid w:val="00804468"/>
    <w:rsid w:val="00804B4A"/>
    <w:rsid w:val="0080633E"/>
    <w:rsid w:val="008071B1"/>
    <w:rsid w:val="00807296"/>
    <w:rsid w:val="00813013"/>
    <w:rsid w:val="008145EE"/>
    <w:rsid w:val="00815065"/>
    <w:rsid w:val="00815190"/>
    <w:rsid w:val="008151E0"/>
    <w:rsid w:val="00816919"/>
    <w:rsid w:val="008209A7"/>
    <w:rsid w:val="0082124C"/>
    <w:rsid w:val="00821697"/>
    <w:rsid w:val="00821A21"/>
    <w:rsid w:val="00822A48"/>
    <w:rsid w:val="00822EF7"/>
    <w:rsid w:val="00823E46"/>
    <w:rsid w:val="00825166"/>
    <w:rsid w:val="00825356"/>
    <w:rsid w:val="008261EB"/>
    <w:rsid w:val="008263A1"/>
    <w:rsid w:val="00826586"/>
    <w:rsid w:val="00826CFC"/>
    <w:rsid w:val="00826DC2"/>
    <w:rsid w:val="00827DAC"/>
    <w:rsid w:val="008306BF"/>
    <w:rsid w:val="008307BB"/>
    <w:rsid w:val="00830EA4"/>
    <w:rsid w:val="00831020"/>
    <w:rsid w:val="008323C3"/>
    <w:rsid w:val="00835146"/>
    <w:rsid w:val="00836195"/>
    <w:rsid w:val="008377A3"/>
    <w:rsid w:val="00840CB7"/>
    <w:rsid w:val="008419D5"/>
    <w:rsid w:val="00841EE5"/>
    <w:rsid w:val="0084274E"/>
    <w:rsid w:val="00843F35"/>
    <w:rsid w:val="00844720"/>
    <w:rsid w:val="008449AB"/>
    <w:rsid w:val="00845575"/>
    <w:rsid w:val="00845E8C"/>
    <w:rsid w:val="0084657E"/>
    <w:rsid w:val="008466DE"/>
    <w:rsid w:val="00846A2C"/>
    <w:rsid w:val="00846F30"/>
    <w:rsid w:val="0084777F"/>
    <w:rsid w:val="008479E9"/>
    <w:rsid w:val="008503F8"/>
    <w:rsid w:val="00850C85"/>
    <w:rsid w:val="0085230E"/>
    <w:rsid w:val="00852364"/>
    <w:rsid w:val="00853F59"/>
    <w:rsid w:val="00854004"/>
    <w:rsid w:val="008565E5"/>
    <w:rsid w:val="00856EBD"/>
    <w:rsid w:val="008574EF"/>
    <w:rsid w:val="00857A75"/>
    <w:rsid w:val="008601A0"/>
    <w:rsid w:val="00861F9A"/>
    <w:rsid w:val="008624B4"/>
    <w:rsid w:val="00862765"/>
    <w:rsid w:val="008635AE"/>
    <w:rsid w:val="0086462F"/>
    <w:rsid w:val="00865639"/>
    <w:rsid w:val="0086589C"/>
    <w:rsid w:val="00865E1F"/>
    <w:rsid w:val="0086630F"/>
    <w:rsid w:val="0086631F"/>
    <w:rsid w:val="008673AC"/>
    <w:rsid w:val="0087114F"/>
    <w:rsid w:val="00872615"/>
    <w:rsid w:val="00873BF9"/>
    <w:rsid w:val="00875068"/>
    <w:rsid w:val="00875A1E"/>
    <w:rsid w:val="008763D3"/>
    <w:rsid w:val="008765B1"/>
    <w:rsid w:val="0087662D"/>
    <w:rsid w:val="008773C5"/>
    <w:rsid w:val="0087787B"/>
    <w:rsid w:val="008806B7"/>
    <w:rsid w:val="0088075E"/>
    <w:rsid w:val="00880A48"/>
    <w:rsid w:val="008815F7"/>
    <w:rsid w:val="008818C0"/>
    <w:rsid w:val="00882601"/>
    <w:rsid w:val="00886578"/>
    <w:rsid w:val="00886DA9"/>
    <w:rsid w:val="00886FD0"/>
    <w:rsid w:val="00887A57"/>
    <w:rsid w:val="00887AA5"/>
    <w:rsid w:val="008906F0"/>
    <w:rsid w:val="008916C0"/>
    <w:rsid w:val="00891849"/>
    <w:rsid w:val="00892F73"/>
    <w:rsid w:val="008935A0"/>
    <w:rsid w:val="0089368F"/>
    <w:rsid w:val="00893DA0"/>
    <w:rsid w:val="00893E94"/>
    <w:rsid w:val="008947B8"/>
    <w:rsid w:val="00895220"/>
    <w:rsid w:val="0089586D"/>
    <w:rsid w:val="0089681D"/>
    <w:rsid w:val="00896F1A"/>
    <w:rsid w:val="00897604"/>
    <w:rsid w:val="008978DD"/>
    <w:rsid w:val="00897C48"/>
    <w:rsid w:val="00897FD0"/>
    <w:rsid w:val="008A08AE"/>
    <w:rsid w:val="008A126A"/>
    <w:rsid w:val="008A14EA"/>
    <w:rsid w:val="008A1F38"/>
    <w:rsid w:val="008A439C"/>
    <w:rsid w:val="008A4446"/>
    <w:rsid w:val="008A51B8"/>
    <w:rsid w:val="008A52FD"/>
    <w:rsid w:val="008A54C8"/>
    <w:rsid w:val="008A58FE"/>
    <w:rsid w:val="008A5E5C"/>
    <w:rsid w:val="008A6918"/>
    <w:rsid w:val="008A693E"/>
    <w:rsid w:val="008B1C98"/>
    <w:rsid w:val="008B252A"/>
    <w:rsid w:val="008B364A"/>
    <w:rsid w:val="008B4206"/>
    <w:rsid w:val="008B4FA2"/>
    <w:rsid w:val="008B52C8"/>
    <w:rsid w:val="008B55A3"/>
    <w:rsid w:val="008B6017"/>
    <w:rsid w:val="008B7C7D"/>
    <w:rsid w:val="008C0C6A"/>
    <w:rsid w:val="008C1110"/>
    <w:rsid w:val="008C1834"/>
    <w:rsid w:val="008C1850"/>
    <w:rsid w:val="008C4782"/>
    <w:rsid w:val="008C576A"/>
    <w:rsid w:val="008C5833"/>
    <w:rsid w:val="008C6E76"/>
    <w:rsid w:val="008C7AFB"/>
    <w:rsid w:val="008D0772"/>
    <w:rsid w:val="008D14CD"/>
    <w:rsid w:val="008D1D33"/>
    <w:rsid w:val="008D1F7B"/>
    <w:rsid w:val="008D260A"/>
    <w:rsid w:val="008D346B"/>
    <w:rsid w:val="008D364D"/>
    <w:rsid w:val="008D36CE"/>
    <w:rsid w:val="008D43DB"/>
    <w:rsid w:val="008D449F"/>
    <w:rsid w:val="008D67D4"/>
    <w:rsid w:val="008E0204"/>
    <w:rsid w:val="008E13FD"/>
    <w:rsid w:val="008E20B4"/>
    <w:rsid w:val="008E38D3"/>
    <w:rsid w:val="008E413F"/>
    <w:rsid w:val="008E4308"/>
    <w:rsid w:val="008E4C92"/>
    <w:rsid w:val="008E5900"/>
    <w:rsid w:val="008E5940"/>
    <w:rsid w:val="008F14AD"/>
    <w:rsid w:val="008F1EEF"/>
    <w:rsid w:val="008F26DA"/>
    <w:rsid w:val="008F35A0"/>
    <w:rsid w:val="008F3716"/>
    <w:rsid w:val="008F3D75"/>
    <w:rsid w:val="008F43D5"/>
    <w:rsid w:val="008F4554"/>
    <w:rsid w:val="008F4CC0"/>
    <w:rsid w:val="008F60A1"/>
    <w:rsid w:val="008F63CE"/>
    <w:rsid w:val="008F6BFF"/>
    <w:rsid w:val="00901EEE"/>
    <w:rsid w:val="00901FF5"/>
    <w:rsid w:val="00902042"/>
    <w:rsid w:val="009020EA"/>
    <w:rsid w:val="00902BD5"/>
    <w:rsid w:val="009056FA"/>
    <w:rsid w:val="0090699D"/>
    <w:rsid w:val="00906E00"/>
    <w:rsid w:val="00910AEB"/>
    <w:rsid w:val="00910B52"/>
    <w:rsid w:val="00911122"/>
    <w:rsid w:val="00911368"/>
    <w:rsid w:val="00911D8A"/>
    <w:rsid w:val="00912259"/>
    <w:rsid w:val="009122A7"/>
    <w:rsid w:val="00913574"/>
    <w:rsid w:val="009148B8"/>
    <w:rsid w:val="0091514C"/>
    <w:rsid w:val="0091680D"/>
    <w:rsid w:val="00916DA1"/>
    <w:rsid w:val="00917C82"/>
    <w:rsid w:val="009213B8"/>
    <w:rsid w:val="00922668"/>
    <w:rsid w:val="00922868"/>
    <w:rsid w:val="00922B79"/>
    <w:rsid w:val="00922F55"/>
    <w:rsid w:val="009237DE"/>
    <w:rsid w:val="009237E7"/>
    <w:rsid w:val="00925373"/>
    <w:rsid w:val="00926775"/>
    <w:rsid w:val="00926E30"/>
    <w:rsid w:val="0092753C"/>
    <w:rsid w:val="009300FC"/>
    <w:rsid w:val="00930FBA"/>
    <w:rsid w:val="00932137"/>
    <w:rsid w:val="009329DA"/>
    <w:rsid w:val="00932C71"/>
    <w:rsid w:val="00932DCD"/>
    <w:rsid w:val="0093355E"/>
    <w:rsid w:val="00934656"/>
    <w:rsid w:val="00937ABC"/>
    <w:rsid w:val="00937DBF"/>
    <w:rsid w:val="00940F11"/>
    <w:rsid w:val="009416AC"/>
    <w:rsid w:val="00941FF7"/>
    <w:rsid w:val="00942661"/>
    <w:rsid w:val="009426BF"/>
    <w:rsid w:val="00943AD7"/>
    <w:rsid w:val="00943D14"/>
    <w:rsid w:val="00943FC7"/>
    <w:rsid w:val="0094422B"/>
    <w:rsid w:val="00944907"/>
    <w:rsid w:val="009473B8"/>
    <w:rsid w:val="00947BAC"/>
    <w:rsid w:val="00947D12"/>
    <w:rsid w:val="00950C7A"/>
    <w:rsid w:val="0095148E"/>
    <w:rsid w:val="00951E79"/>
    <w:rsid w:val="00952237"/>
    <w:rsid w:val="00953579"/>
    <w:rsid w:val="00953B1E"/>
    <w:rsid w:val="00954ACC"/>
    <w:rsid w:val="00954E99"/>
    <w:rsid w:val="00956A7D"/>
    <w:rsid w:val="009570F5"/>
    <w:rsid w:val="00957E9A"/>
    <w:rsid w:val="00960060"/>
    <w:rsid w:val="0096011E"/>
    <w:rsid w:val="00960588"/>
    <w:rsid w:val="00961F54"/>
    <w:rsid w:val="00961FA3"/>
    <w:rsid w:val="00962464"/>
    <w:rsid w:val="009655FB"/>
    <w:rsid w:val="009674DA"/>
    <w:rsid w:val="009706D1"/>
    <w:rsid w:val="0097072F"/>
    <w:rsid w:val="00970C05"/>
    <w:rsid w:val="00971370"/>
    <w:rsid w:val="009730CE"/>
    <w:rsid w:val="00973ABE"/>
    <w:rsid w:val="0097596F"/>
    <w:rsid w:val="00977012"/>
    <w:rsid w:val="00977E49"/>
    <w:rsid w:val="00982B21"/>
    <w:rsid w:val="00983D07"/>
    <w:rsid w:val="0098441A"/>
    <w:rsid w:val="0098443E"/>
    <w:rsid w:val="009846E8"/>
    <w:rsid w:val="00984E14"/>
    <w:rsid w:val="00985627"/>
    <w:rsid w:val="00986EE3"/>
    <w:rsid w:val="00986FA5"/>
    <w:rsid w:val="00990376"/>
    <w:rsid w:val="00990CC0"/>
    <w:rsid w:val="00991291"/>
    <w:rsid w:val="009916CA"/>
    <w:rsid w:val="00993464"/>
    <w:rsid w:val="00994884"/>
    <w:rsid w:val="00994EFD"/>
    <w:rsid w:val="009951B6"/>
    <w:rsid w:val="00995B40"/>
    <w:rsid w:val="00995B44"/>
    <w:rsid w:val="00995EA6"/>
    <w:rsid w:val="00997080"/>
    <w:rsid w:val="009972DB"/>
    <w:rsid w:val="009A03C0"/>
    <w:rsid w:val="009A090F"/>
    <w:rsid w:val="009A0A31"/>
    <w:rsid w:val="009A0FAD"/>
    <w:rsid w:val="009A1359"/>
    <w:rsid w:val="009A1916"/>
    <w:rsid w:val="009A1BD7"/>
    <w:rsid w:val="009A6806"/>
    <w:rsid w:val="009A7162"/>
    <w:rsid w:val="009A7308"/>
    <w:rsid w:val="009B0C82"/>
    <w:rsid w:val="009B383C"/>
    <w:rsid w:val="009B45F3"/>
    <w:rsid w:val="009B5912"/>
    <w:rsid w:val="009B604C"/>
    <w:rsid w:val="009B6AD2"/>
    <w:rsid w:val="009B6B17"/>
    <w:rsid w:val="009B6BAC"/>
    <w:rsid w:val="009B6DFB"/>
    <w:rsid w:val="009B6F02"/>
    <w:rsid w:val="009B73C0"/>
    <w:rsid w:val="009C02CF"/>
    <w:rsid w:val="009C0C08"/>
    <w:rsid w:val="009C10D1"/>
    <w:rsid w:val="009C1CAB"/>
    <w:rsid w:val="009C1DBA"/>
    <w:rsid w:val="009C1F1A"/>
    <w:rsid w:val="009C33B1"/>
    <w:rsid w:val="009C398E"/>
    <w:rsid w:val="009C475C"/>
    <w:rsid w:val="009C4ADC"/>
    <w:rsid w:val="009C5785"/>
    <w:rsid w:val="009C5F78"/>
    <w:rsid w:val="009C6D82"/>
    <w:rsid w:val="009D024B"/>
    <w:rsid w:val="009D0FD3"/>
    <w:rsid w:val="009D185F"/>
    <w:rsid w:val="009D1BB0"/>
    <w:rsid w:val="009D326B"/>
    <w:rsid w:val="009D33EA"/>
    <w:rsid w:val="009D37FC"/>
    <w:rsid w:val="009D3F85"/>
    <w:rsid w:val="009D4462"/>
    <w:rsid w:val="009D4B9C"/>
    <w:rsid w:val="009D4F10"/>
    <w:rsid w:val="009D529B"/>
    <w:rsid w:val="009D56B7"/>
    <w:rsid w:val="009D5A60"/>
    <w:rsid w:val="009D738F"/>
    <w:rsid w:val="009E0611"/>
    <w:rsid w:val="009E0B25"/>
    <w:rsid w:val="009E0CB0"/>
    <w:rsid w:val="009E287C"/>
    <w:rsid w:val="009E2F7A"/>
    <w:rsid w:val="009E48D4"/>
    <w:rsid w:val="009E4E05"/>
    <w:rsid w:val="009E5BE6"/>
    <w:rsid w:val="009E690A"/>
    <w:rsid w:val="009E6CFA"/>
    <w:rsid w:val="009E7779"/>
    <w:rsid w:val="009F18D4"/>
    <w:rsid w:val="009F651E"/>
    <w:rsid w:val="009F6B25"/>
    <w:rsid w:val="009F7EDE"/>
    <w:rsid w:val="00A002B5"/>
    <w:rsid w:val="00A031C9"/>
    <w:rsid w:val="00A040F5"/>
    <w:rsid w:val="00A0456D"/>
    <w:rsid w:val="00A05F15"/>
    <w:rsid w:val="00A060E0"/>
    <w:rsid w:val="00A061FF"/>
    <w:rsid w:val="00A0667B"/>
    <w:rsid w:val="00A10301"/>
    <w:rsid w:val="00A10590"/>
    <w:rsid w:val="00A10B7A"/>
    <w:rsid w:val="00A10BCD"/>
    <w:rsid w:val="00A1197B"/>
    <w:rsid w:val="00A1215F"/>
    <w:rsid w:val="00A14005"/>
    <w:rsid w:val="00A141B7"/>
    <w:rsid w:val="00A146F6"/>
    <w:rsid w:val="00A14BCD"/>
    <w:rsid w:val="00A14C83"/>
    <w:rsid w:val="00A153C0"/>
    <w:rsid w:val="00A1582C"/>
    <w:rsid w:val="00A15BCA"/>
    <w:rsid w:val="00A16701"/>
    <w:rsid w:val="00A16D7D"/>
    <w:rsid w:val="00A176F1"/>
    <w:rsid w:val="00A207B7"/>
    <w:rsid w:val="00A22B5B"/>
    <w:rsid w:val="00A23208"/>
    <w:rsid w:val="00A2349E"/>
    <w:rsid w:val="00A23DDF"/>
    <w:rsid w:val="00A26789"/>
    <w:rsid w:val="00A26BA9"/>
    <w:rsid w:val="00A276C6"/>
    <w:rsid w:val="00A27FC4"/>
    <w:rsid w:val="00A31CF5"/>
    <w:rsid w:val="00A34360"/>
    <w:rsid w:val="00A35F2B"/>
    <w:rsid w:val="00A37015"/>
    <w:rsid w:val="00A37A1E"/>
    <w:rsid w:val="00A37E16"/>
    <w:rsid w:val="00A403FB"/>
    <w:rsid w:val="00A418DE"/>
    <w:rsid w:val="00A41F06"/>
    <w:rsid w:val="00A4346F"/>
    <w:rsid w:val="00A435B3"/>
    <w:rsid w:val="00A438A7"/>
    <w:rsid w:val="00A44334"/>
    <w:rsid w:val="00A44A42"/>
    <w:rsid w:val="00A44C7C"/>
    <w:rsid w:val="00A45504"/>
    <w:rsid w:val="00A46495"/>
    <w:rsid w:val="00A46E9A"/>
    <w:rsid w:val="00A47F58"/>
    <w:rsid w:val="00A51763"/>
    <w:rsid w:val="00A52EE6"/>
    <w:rsid w:val="00A54001"/>
    <w:rsid w:val="00A540E9"/>
    <w:rsid w:val="00A542FD"/>
    <w:rsid w:val="00A6001F"/>
    <w:rsid w:val="00A6124F"/>
    <w:rsid w:val="00A62838"/>
    <w:rsid w:val="00A6374E"/>
    <w:rsid w:val="00A63E4B"/>
    <w:rsid w:val="00A64922"/>
    <w:rsid w:val="00A65D03"/>
    <w:rsid w:val="00A6627C"/>
    <w:rsid w:val="00A66905"/>
    <w:rsid w:val="00A66DB9"/>
    <w:rsid w:val="00A66E46"/>
    <w:rsid w:val="00A67632"/>
    <w:rsid w:val="00A67CC6"/>
    <w:rsid w:val="00A67D7D"/>
    <w:rsid w:val="00A71D2C"/>
    <w:rsid w:val="00A74269"/>
    <w:rsid w:val="00A747DE"/>
    <w:rsid w:val="00A74F1F"/>
    <w:rsid w:val="00A75CBB"/>
    <w:rsid w:val="00A76332"/>
    <w:rsid w:val="00A77018"/>
    <w:rsid w:val="00A775B7"/>
    <w:rsid w:val="00A80ADD"/>
    <w:rsid w:val="00A82DE5"/>
    <w:rsid w:val="00A847F9"/>
    <w:rsid w:val="00A8507C"/>
    <w:rsid w:val="00A855C9"/>
    <w:rsid w:val="00A862A2"/>
    <w:rsid w:val="00A86515"/>
    <w:rsid w:val="00A90145"/>
    <w:rsid w:val="00A90A2E"/>
    <w:rsid w:val="00A90CEF"/>
    <w:rsid w:val="00A91A0F"/>
    <w:rsid w:val="00A9213B"/>
    <w:rsid w:val="00A92FE2"/>
    <w:rsid w:val="00A9460F"/>
    <w:rsid w:val="00A94892"/>
    <w:rsid w:val="00A94BC0"/>
    <w:rsid w:val="00A95A8F"/>
    <w:rsid w:val="00A95D5C"/>
    <w:rsid w:val="00A962D0"/>
    <w:rsid w:val="00A9691D"/>
    <w:rsid w:val="00AA15BA"/>
    <w:rsid w:val="00AA40F5"/>
    <w:rsid w:val="00AA4830"/>
    <w:rsid w:val="00AA4F66"/>
    <w:rsid w:val="00AA5329"/>
    <w:rsid w:val="00AA5F61"/>
    <w:rsid w:val="00AA625C"/>
    <w:rsid w:val="00AA6296"/>
    <w:rsid w:val="00AA6EF9"/>
    <w:rsid w:val="00AB11EF"/>
    <w:rsid w:val="00AB1F3C"/>
    <w:rsid w:val="00AB25E0"/>
    <w:rsid w:val="00AB39E7"/>
    <w:rsid w:val="00AB5286"/>
    <w:rsid w:val="00AC1739"/>
    <w:rsid w:val="00AC18AD"/>
    <w:rsid w:val="00AC313D"/>
    <w:rsid w:val="00AC4B56"/>
    <w:rsid w:val="00AC4DF5"/>
    <w:rsid w:val="00AC5A3D"/>
    <w:rsid w:val="00AC6821"/>
    <w:rsid w:val="00AC6E5E"/>
    <w:rsid w:val="00AC7309"/>
    <w:rsid w:val="00AC765E"/>
    <w:rsid w:val="00AD0D39"/>
    <w:rsid w:val="00AD454B"/>
    <w:rsid w:val="00AD461C"/>
    <w:rsid w:val="00AD4CE6"/>
    <w:rsid w:val="00AD6A59"/>
    <w:rsid w:val="00AD6EC6"/>
    <w:rsid w:val="00AD7A13"/>
    <w:rsid w:val="00AE07D2"/>
    <w:rsid w:val="00AE0E3B"/>
    <w:rsid w:val="00AE1DF7"/>
    <w:rsid w:val="00AE1E38"/>
    <w:rsid w:val="00AE2DA8"/>
    <w:rsid w:val="00AE2DF6"/>
    <w:rsid w:val="00AE3311"/>
    <w:rsid w:val="00AE3DCD"/>
    <w:rsid w:val="00AE4004"/>
    <w:rsid w:val="00AE4313"/>
    <w:rsid w:val="00AE5AD8"/>
    <w:rsid w:val="00AF1D00"/>
    <w:rsid w:val="00AF1D80"/>
    <w:rsid w:val="00AF22CE"/>
    <w:rsid w:val="00AF2439"/>
    <w:rsid w:val="00AF299F"/>
    <w:rsid w:val="00AF3E8A"/>
    <w:rsid w:val="00AF4F6D"/>
    <w:rsid w:val="00AF4FB5"/>
    <w:rsid w:val="00AF51A3"/>
    <w:rsid w:val="00AF604D"/>
    <w:rsid w:val="00B005BA"/>
    <w:rsid w:val="00B00CC3"/>
    <w:rsid w:val="00B03385"/>
    <w:rsid w:val="00B049AF"/>
    <w:rsid w:val="00B0555F"/>
    <w:rsid w:val="00B064CB"/>
    <w:rsid w:val="00B06707"/>
    <w:rsid w:val="00B06857"/>
    <w:rsid w:val="00B07474"/>
    <w:rsid w:val="00B07F97"/>
    <w:rsid w:val="00B11E4C"/>
    <w:rsid w:val="00B12398"/>
    <w:rsid w:val="00B12AE2"/>
    <w:rsid w:val="00B13FE7"/>
    <w:rsid w:val="00B15438"/>
    <w:rsid w:val="00B17C43"/>
    <w:rsid w:val="00B2089D"/>
    <w:rsid w:val="00B20ED4"/>
    <w:rsid w:val="00B219FF"/>
    <w:rsid w:val="00B21CD7"/>
    <w:rsid w:val="00B22EC2"/>
    <w:rsid w:val="00B238E8"/>
    <w:rsid w:val="00B244D4"/>
    <w:rsid w:val="00B249BF"/>
    <w:rsid w:val="00B25C3F"/>
    <w:rsid w:val="00B25EB0"/>
    <w:rsid w:val="00B25F82"/>
    <w:rsid w:val="00B26F23"/>
    <w:rsid w:val="00B3073C"/>
    <w:rsid w:val="00B31484"/>
    <w:rsid w:val="00B34CCC"/>
    <w:rsid w:val="00B3511E"/>
    <w:rsid w:val="00B3557D"/>
    <w:rsid w:val="00B368DF"/>
    <w:rsid w:val="00B36B8F"/>
    <w:rsid w:val="00B379AC"/>
    <w:rsid w:val="00B37CDB"/>
    <w:rsid w:val="00B4045F"/>
    <w:rsid w:val="00B40AFE"/>
    <w:rsid w:val="00B41029"/>
    <w:rsid w:val="00B412CF"/>
    <w:rsid w:val="00B417CB"/>
    <w:rsid w:val="00B42B13"/>
    <w:rsid w:val="00B4384D"/>
    <w:rsid w:val="00B43A2A"/>
    <w:rsid w:val="00B440CA"/>
    <w:rsid w:val="00B443D3"/>
    <w:rsid w:val="00B45C8E"/>
    <w:rsid w:val="00B45CF2"/>
    <w:rsid w:val="00B45FE7"/>
    <w:rsid w:val="00B463C0"/>
    <w:rsid w:val="00B471CA"/>
    <w:rsid w:val="00B50207"/>
    <w:rsid w:val="00B509F9"/>
    <w:rsid w:val="00B52C79"/>
    <w:rsid w:val="00B537FD"/>
    <w:rsid w:val="00B5384B"/>
    <w:rsid w:val="00B55A23"/>
    <w:rsid w:val="00B578D3"/>
    <w:rsid w:val="00B57B2E"/>
    <w:rsid w:val="00B57D15"/>
    <w:rsid w:val="00B60174"/>
    <w:rsid w:val="00B61C1E"/>
    <w:rsid w:val="00B61CD5"/>
    <w:rsid w:val="00B620B0"/>
    <w:rsid w:val="00B6412F"/>
    <w:rsid w:val="00B6461B"/>
    <w:rsid w:val="00B64C17"/>
    <w:rsid w:val="00B6569E"/>
    <w:rsid w:val="00B658A5"/>
    <w:rsid w:val="00B65B5D"/>
    <w:rsid w:val="00B66B8E"/>
    <w:rsid w:val="00B6739E"/>
    <w:rsid w:val="00B6756C"/>
    <w:rsid w:val="00B70473"/>
    <w:rsid w:val="00B718A4"/>
    <w:rsid w:val="00B726A3"/>
    <w:rsid w:val="00B737A8"/>
    <w:rsid w:val="00B73899"/>
    <w:rsid w:val="00B7481B"/>
    <w:rsid w:val="00B76056"/>
    <w:rsid w:val="00B77470"/>
    <w:rsid w:val="00B7770D"/>
    <w:rsid w:val="00B8091F"/>
    <w:rsid w:val="00B80B79"/>
    <w:rsid w:val="00B81100"/>
    <w:rsid w:val="00B81D0D"/>
    <w:rsid w:val="00B82AD5"/>
    <w:rsid w:val="00B851B5"/>
    <w:rsid w:val="00B85EAA"/>
    <w:rsid w:val="00B86A97"/>
    <w:rsid w:val="00B879FC"/>
    <w:rsid w:val="00B9039E"/>
    <w:rsid w:val="00B910E0"/>
    <w:rsid w:val="00B91295"/>
    <w:rsid w:val="00B937B6"/>
    <w:rsid w:val="00B9527D"/>
    <w:rsid w:val="00B95AB3"/>
    <w:rsid w:val="00B96470"/>
    <w:rsid w:val="00B96EBB"/>
    <w:rsid w:val="00B96ED7"/>
    <w:rsid w:val="00B97C88"/>
    <w:rsid w:val="00BA04F6"/>
    <w:rsid w:val="00BA1482"/>
    <w:rsid w:val="00BA2B4F"/>
    <w:rsid w:val="00BA3C5C"/>
    <w:rsid w:val="00BA6322"/>
    <w:rsid w:val="00BA6565"/>
    <w:rsid w:val="00BA6A82"/>
    <w:rsid w:val="00BA6D59"/>
    <w:rsid w:val="00BB1032"/>
    <w:rsid w:val="00BB2138"/>
    <w:rsid w:val="00BB60C1"/>
    <w:rsid w:val="00BB692B"/>
    <w:rsid w:val="00BB6B63"/>
    <w:rsid w:val="00BB6E8F"/>
    <w:rsid w:val="00BB7F6C"/>
    <w:rsid w:val="00BC0400"/>
    <w:rsid w:val="00BC0A22"/>
    <w:rsid w:val="00BC0BD0"/>
    <w:rsid w:val="00BC1B61"/>
    <w:rsid w:val="00BC1B64"/>
    <w:rsid w:val="00BC2634"/>
    <w:rsid w:val="00BC2EE7"/>
    <w:rsid w:val="00BC301D"/>
    <w:rsid w:val="00BC3B80"/>
    <w:rsid w:val="00BC45B3"/>
    <w:rsid w:val="00BC79E5"/>
    <w:rsid w:val="00BD034E"/>
    <w:rsid w:val="00BD0B8D"/>
    <w:rsid w:val="00BD2339"/>
    <w:rsid w:val="00BD2B51"/>
    <w:rsid w:val="00BD5AA1"/>
    <w:rsid w:val="00BD742D"/>
    <w:rsid w:val="00BD7C22"/>
    <w:rsid w:val="00BE04A6"/>
    <w:rsid w:val="00BE106F"/>
    <w:rsid w:val="00BE1364"/>
    <w:rsid w:val="00BE14C9"/>
    <w:rsid w:val="00BE1E81"/>
    <w:rsid w:val="00BE350C"/>
    <w:rsid w:val="00BE35CF"/>
    <w:rsid w:val="00BE37D4"/>
    <w:rsid w:val="00BE3CD5"/>
    <w:rsid w:val="00BE4FF6"/>
    <w:rsid w:val="00BE5225"/>
    <w:rsid w:val="00BE5ED4"/>
    <w:rsid w:val="00BE7597"/>
    <w:rsid w:val="00BF0240"/>
    <w:rsid w:val="00BF0849"/>
    <w:rsid w:val="00BF0FA0"/>
    <w:rsid w:val="00BF28FD"/>
    <w:rsid w:val="00BF358E"/>
    <w:rsid w:val="00BF3EC8"/>
    <w:rsid w:val="00BF5A12"/>
    <w:rsid w:val="00BF619B"/>
    <w:rsid w:val="00BF649D"/>
    <w:rsid w:val="00C0048E"/>
    <w:rsid w:val="00C00F05"/>
    <w:rsid w:val="00C02F5F"/>
    <w:rsid w:val="00C030DC"/>
    <w:rsid w:val="00C04573"/>
    <w:rsid w:val="00C05283"/>
    <w:rsid w:val="00C053BC"/>
    <w:rsid w:val="00C05483"/>
    <w:rsid w:val="00C062E1"/>
    <w:rsid w:val="00C07720"/>
    <w:rsid w:val="00C07C3C"/>
    <w:rsid w:val="00C103AE"/>
    <w:rsid w:val="00C11AEA"/>
    <w:rsid w:val="00C138C6"/>
    <w:rsid w:val="00C13FAE"/>
    <w:rsid w:val="00C15A62"/>
    <w:rsid w:val="00C17B5B"/>
    <w:rsid w:val="00C205A1"/>
    <w:rsid w:val="00C20A7A"/>
    <w:rsid w:val="00C2125B"/>
    <w:rsid w:val="00C220E1"/>
    <w:rsid w:val="00C2222E"/>
    <w:rsid w:val="00C222C9"/>
    <w:rsid w:val="00C237B3"/>
    <w:rsid w:val="00C23FFB"/>
    <w:rsid w:val="00C2425F"/>
    <w:rsid w:val="00C2551A"/>
    <w:rsid w:val="00C25B31"/>
    <w:rsid w:val="00C25D5E"/>
    <w:rsid w:val="00C276A2"/>
    <w:rsid w:val="00C27CE6"/>
    <w:rsid w:val="00C30F81"/>
    <w:rsid w:val="00C3131F"/>
    <w:rsid w:val="00C31C4E"/>
    <w:rsid w:val="00C346C2"/>
    <w:rsid w:val="00C3496B"/>
    <w:rsid w:val="00C349C3"/>
    <w:rsid w:val="00C35004"/>
    <w:rsid w:val="00C351C1"/>
    <w:rsid w:val="00C35DCF"/>
    <w:rsid w:val="00C36DFB"/>
    <w:rsid w:val="00C36F8E"/>
    <w:rsid w:val="00C37740"/>
    <w:rsid w:val="00C37CFE"/>
    <w:rsid w:val="00C40A85"/>
    <w:rsid w:val="00C42AE4"/>
    <w:rsid w:val="00C42E5E"/>
    <w:rsid w:val="00C4321F"/>
    <w:rsid w:val="00C43983"/>
    <w:rsid w:val="00C50198"/>
    <w:rsid w:val="00C5090E"/>
    <w:rsid w:val="00C50AB8"/>
    <w:rsid w:val="00C51072"/>
    <w:rsid w:val="00C5226C"/>
    <w:rsid w:val="00C55C34"/>
    <w:rsid w:val="00C56930"/>
    <w:rsid w:val="00C60390"/>
    <w:rsid w:val="00C614A1"/>
    <w:rsid w:val="00C6228F"/>
    <w:rsid w:val="00C628B7"/>
    <w:rsid w:val="00C63270"/>
    <w:rsid w:val="00C632BC"/>
    <w:rsid w:val="00C657D9"/>
    <w:rsid w:val="00C659CE"/>
    <w:rsid w:val="00C668B9"/>
    <w:rsid w:val="00C672B9"/>
    <w:rsid w:val="00C677AB"/>
    <w:rsid w:val="00C70915"/>
    <w:rsid w:val="00C711CB"/>
    <w:rsid w:val="00C71EF1"/>
    <w:rsid w:val="00C745CD"/>
    <w:rsid w:val="00C755F7"/>
    <w:rsid w:val="00C7575A"/>
    <w:rsid w:val="00C75BD2"/>
    <w:rsid w:val="00C7659E"/>
    <w:rsid w:val="00C766DE"/>
    <w:rsid w:val="00C76DE4"/>
    <w:rsid w:val="00C80596"/>
    <w:rsid w:val="00C8173E"/>
    <w:rsid w:val="00C81963"/>
    <w:rsid w:val="00C83225"/>
    <w:rsid w:val="00C834F0"/>
    <w:rsid w:val="00C83AD7"/>
    <w:rsid w:val="00C83B95"/>
    <w:rsid w:val="00C84E75"/>
    <w:rsid w:val="00C84EC0"/>
    <w:rsid w:val="00C858AF"/>
    <w:rsid w:val="00C8597D"/>
    <w:rsid w:val="00C85A5E"/>
    <w:rsid w:val="00C86E52"/>
    <w:rsid w:val="00C87385"/>
    <w:rsid w:val="00C87C19"/>
    <w:rsid w:val="00C87DD7"/>
    <w:rsid w:val="00C91607"/>
    <w:rsid w:val="00C9347C"/>
    <w:rsid w:val="00C93AD5"/>
    <w:rsid w:val="00C9408B"/>
    <w:rsid w:val="00C9485A"/>
    <w:rsid w:val="00C95AD6"/>
    <w:rsid w:val="00C95E71"/>
    <w:rsid w:val="00C961D4"/>
    <w:rsid w:val="00CA0507"/>
    <w:rsid w:val="00CA0EDB"/>
    <w:rsid w:val="00CA106B"/>
    <w:rsid w:val="00CA12F6"/>
    <w:rsid w:val="00CA14FA"/>
    <w:rsid w:val="00CA165F"/>
    <w:rsid w:val="00CA1A16"/>
    <w:rsid w:val="00CA1E93"/>
    <w:rsid w:val="00CA249D"/>
    <w:rsid w:val="00CA2F61"/>
    <w:rsid w:val="00CA3B91"/>
    <w:rsid w:val="00CA4A59"/>
    <w:rsid w:val="00CA5813"/>
    <w:rsid w:val="00CA72B3"/>
    <w:rsid w:val="00CA75CC"/>
    <w:rsid w:val="00CA76DC"/>
    <w:rsid w:val="00CA7F08"/>
    <w:rsid w:val="00CB013E"/>
    <w:rsid w:val="00CB06E1"/>
    <w:rsid w:val="00CB0E82"/>
    <w:rsid w:val="00CB445C"/>
    <w:rsid w:val="00CB5589"/>
    <w:rsid w:val="00CB68C3"/>
    <w:rsid w:val="00CB6A72"/>
    <w:rsid w:val="00CB722A"/>
    <w:rsid w:val="00CB78DF"/>
    <w:rsid w:val="00CC0134"/>
    <w:rsid w:val="00CC0DA9"/>
    <w:rsid w:val="00CC27F0"/>
    <w:rsid w:val="00CC418B"/>
    <w:rsid w:val="00CC49E2"/>
    <w:rsid w:val="00CC4D74"/>
    <w:rsid w:val="00CC4FC9"/>
    <w:rsid w:val="00CC5638"/>
    <w:rsid w:val="00CC613D"/>
    <w:rsid w:val="00CC6A99"/>
    <w:rsid w:val="00CD0F24"/>
    <w:rsid w:val="00CD11EF"/>
    <w:rsid w:val="00CD1BE5"/>
    <w:rsid w:val="00CD26AA"/>
    <w:rsid w:val="00CD26E3"/>
    <w:rsid w:val="00CD2F99"/>
    <w:rsid w:val="00CD45EE"/>
    <w:rsid w:val="00CD7688"/>
    <w:rsid w:val="00CD7749"/>
    <w:rsid w:val="00CD7EBC"/>
    <w:rsid w:val="00CE1FE0"/>
    <w:rsid w:val="00CE360B"/>
    <w:rsid w:val="00CE3A91"/>
    <w:rsid w:val="00CE3B3E"/>
    <w:rsid w:val="00CE3D46"/>
    <w:rsid w:val="00CE64AB"/>
    <w:rsid w:val="00CE7474"/>
    <w:rsid w:val="00CE7513"/>
    <w:rsid w:val="00CE7607"/>
    <w:rsid w:val="00CE7E98"/>
    <w:rsid w:val="00CF3544"/>
    <w:rsid w:val="00CF55EF"/>
    <w:rsid w:val="00CF56B1"/>
    <w:rsid w:val="00CF5CF2"/>
    <w:rsid w:val="00CF6056"/>
    <w:rsid w:val="00CF6AF1"/>
    <w:rsid w:val="00D0298E"/>
    <w:rsid w:val="00D03411"/>
    <w:rsid w:val="00D03922"/>
    <w:rsid w:val="00D041E5"/>
    <w:rsid w:val="00D06102"/>
    <w:rsid w:val="00D06ED8"/>
    <w:rsid w:val="00D0791B"/>
    <w:rsid w:val="00D1197E"/>
    <w:rsid w:val="00D13CEB"/>
    <w:rsid w:val="00D1587E"/>
    <w:rsid w:val="00D1614D"/>
    <w:rsid w:val="00D176B3"/>
    <w:rsid w:val="00D17A74"/>
    <w:rsid w:val="00D203E7"/>
    <w:rsid w:val="00D206CC"/>
    <w:rsid w:val="00D213E1"/>
    <w:rsid w:val="00D218E0"/>
    <w:rsid w:val="00D219B1"/>
    <w:rsid w:val="00D21D7E"/>
    <w:rsid w:val="00D231A9"/>
    <w:rsid w:val="00D23BEA"/>
    <w:rsid w:val="00D23CD0"/>
    <w:rsid w:val="00D24343"/>
    <w:rsid w:val="00D256CD"/>
    <w:rsid w:val="00D26A58"/>
    <w:rsid w:val="00D27684"/>
    <w:rsid w:val="00D30C85"/>
    <w:rsid w:val="00D3144F"/>
    <w:rsid w:val="00D3162D"/>
    <w:rsid w:val="00D31D5B"/>
    <w:rsid w:val="00D323F4"/>
    <w:rsid w:val="00D344B6"/>
    <w:rsid w:val="00D36F8E"/>
    <w:rsid w:val="00D40377"/>
    <w:rsid w:val="00D4038C"/>
    <w:rsid w:val="00D40E87"/>
    <w:rsid w:val="00D40EF3"/>
    <w:rsid w:val="00D42E52"/>
    <w:rsid w:val="00D503CD"/>
    <w:rsid w:val="00D50DED"/>
    <w:rsid w:val="00D5181F"/>
    <w:rsid w:val="00D5211C"/>
    <w:rsid w:val="00D544DA"/>
    <w:rsid w:val="00D56219"/>
    <w:rsid w:val="00D562E5"/>
    <w:rsid w:val="00D56735"/>
    <w:rsid w:val="00D56C6C"/>
    <w:rsid w:val="00D60728"/>
    <w:rsid w:val="00D61BD6"/>
    <w:rsid w:val="00D6225B"/>
    <w:rsid w:val="00D629C2"/>
    <w:rsid w:val="00D63432"/>
    <w:rsid w:val="00D63BD2"/>
    <w:rsid w:val="00D647B7"/>
    <w:rsid w:val="00D657F5"/>
    <w:rsid w:val="00D6715D"/>
    <w:rsid w:val="00D705D9"/>
    <w:rsid w:val="00D708FE"/>
    <w:rsid w:val="00D70D8A"/>
    <w:rsid w:val="00D71271"/>
    <w:rsid w:val="00D71968"/>
    <w:rsid w:val="00D722D0"/>
    <w:rsid w:val="00D72544"/>
    <w:rsid w:val="00D74FAC"/>
    <w:rsid w:val="00D75682"/>
    <w:rsid w:val="00D76B3F"/>
    <w:rsid w:val="00D77C2E"/>
    <w:rsid w:val="00D8202F"/>
    <w:rsid w:val="00D82A37"/>
    <w:rsid w:val="00D837EB"/>
    <w:rsid w:val="00D845B0"/>
    <w:rsid w:val="00D84806"/>
    <w:rsid w:val="00D84F38"/>
    <w:rsid w:val="00D84FF4"/>
    <w:rsid w:val="00D85325"/>
    <w:rsid w:val="00D8552D"/>
    <w:rsid w:val="00D858EC"/>
    <w:rsid w:val="00D85D5E"/>
    <w:rsid w:val="00D87633"/>
    <w:rsid w:val="00D909EA"/>
    <w:rsid w:val="00D91153"/>
    <w:rsid w:val="00D91A01"/>
    <w:rsid w:val="00D92ABB"/>
    <w:rsid w:val="00D92EC3"/>
    <w:rsid w:val="00D9318A"/>
    <w:rsid w:val="00D93572"/>
    <w:rsid w:val="00D93B5C"/>
    <w:rsid w:val="00D9512A"/>
    <w:rsid w:val="00D96B30"/>
    <w:rsid w:val="00D96C8F"/>
    <w:rsid w:val="00D971AE"/>
    <w:rsid w:val="00DA20E5"/>
    <w:rsid w:val="00DA2FE4"/>
    <w:rsid w:val="00DA3009"/>
    <w:rsid w:val="00DA33B9"/>
    <w:rsid w:val="00DA40BD"/>
    <w:rsid w:val="00DA4425"/>
    <w:rsid w:val="00DA4752"/>
    <w:rsid w:val="00DA5E28"/>
    <w:rsid w:val="00DA609E"/>
    <w:rsid w:val="00DA7E44"/>
    <w:rsid w:val="00DA7EFE"/>
    <w:rsid w:val="00DB04BC"/>
    <w:rsid w:val="00DB0C18"/>
    <w:rsid w:val="00DB1582"/>
    <w:rsid w:val="00DB371F"/>
    <w:rsid w:val="00DB3991"/>
    <w:rsid w:val="00DB4AA4"/>
    <w:rsid w:val="00DB59F2"/>
    <w:rsid w:val="00DB5B2A"/>
    <w:rsid w:val="00DB6803"/>
    <w:rsid w:val="00DB6D20"/>
    <w:rsid w:val="00DB703E"/>
    <w:rsid w:val="00DB7447"/>
    <w:rsid w:val="00DC2B31"/>
    <w:rsid w:val="00DC3226"/>
    <w:rsid w:val="00DC3C09"/>
    <w:rsid w:val="00DC3E11"/>
    <w:rsid w:val="00DC3FF0"/>
    <w:rsid w:val="00DC66F6"/>
    <w:rsid w:val="00DC7416"/>
    <w:rsid w:val="00DD0AAC"/>
    <w:rsid w:val="00DD10DC"/>
    <w:rsid w:val="00DD1889"/>
    <w:rsid w:val="00DD25BE"/>
    <w:rsid w:val="00DD3469"/>
    <w:rsid w:val="00DD4D6F"/>
    <w:rsid w:val="00DD5DD8"/>
    <w:rsid w:val="00DD675F"/>
    <w:rsid w:val="00DD67F2"/>
    <w:rsid w:val="00DD6A6B"/>
    <w:rsid w:val="00DD6FBC"/>
    <w:rsid w:val="00DD708C"/>
    <w:rsid w:val="00DD75DE"/>
    <w:rsid w:val="00DD7BF7"/>
    <w:rsid w:val="00DE030E"/>
    <w:rsid w:val="00DE0E30"/>
    <w:rsid w:val="00DE11B8"/>
    <w:rsid w:val="00DE156F"/>
    <w:rsid w:val="00DE1904"/>
    <w:rsid w:val="00DE1DD9"/>
    <w:rsid w:val="00DE1F01"/>
    <w:rsid w:val="00DE280A"/>
    <w:rsid w:val="00DE2C09"/>
    <w:rsid w:val="00DE3A60"/>
    <w:rsid w:val="00DE3FCC"/>
    <w:rsid w:val="00DE47B5"/>
    <w:rsid w:val="00DE4B84"/>
    <w:rsid w:val="00DE52A4"/>
    <w:rsid w:val="00DE5D3B"/>
    <w:rsid w:val="00DE60AE"/>
    <w:rsid w:val="00DE649D"/>
    <w:rsid w:val="00DE7232"/>
    <w:rsid w:val="00DE7A67"/>
    <w:rsid w:val="00DF075D"/>
    <w:rsid w:val="00DF166C"/>
    <w:rsid w:val="00DF1694"/>
    <w:rsid w:val="00DF381B"/>
    <w:rsid w:val="00DF4832"/>
    <w:rsid w:val="00DF6296"/>
    <w:rsid w:val="00DF70F9"/>
    <w:rsid w:val="00DF77E6"/>
    <w:rsid w:val="00E004E7"/>
    <w:rsid w:val="00E030A5"/>
    <w:rsid w:val="00E03108"/>
    <w:rsid w:val="00E062C4"/>
    <w:rsid w:val="00E07032"/>
    <w:rsid w:val="00E07D7D"/>
    <w:rsid w:val="00E1006A"/>
    <w:rsid w:val="00E102DE"/>
    <w:rsid w:val="00E113F2"/>
    <w:rsid w:val="00E114BF"/>
    <w:rsid w:val="00E11909"/>
    <w:rsid w:val="00E11AC1"/>
    <w:rsid w:val="00E1240F"/>
    <w:rsid w:val="00E131DB"/>
    <w:rsid w:val="00E1330C"/>
    <w:rsid w:val="00E13A90"/>
    <w:rsid w:val="00E1426F"/>
    <w:rsid w:val="00E1499C"/>
    <w:rsid w:val="00E14C06"/>
    <w:rsid w:val="00E15933"/>
    <w:rsid w:val="00E15FBC"/>
    <w:rsid w:val="00E17E43"/>
    <w:rsid w:val="00E17E97"/>
    <w:rsid w:val="00E207D4"/>
    <w:rsid w:val="00E22ABC"/>
    <w:rsid w:val="00E24256"/>
    <w:rsid w:val="00E24378"/>
    <w:rsid w:val="00E24E24"/>
    <w:rsid w:val="00E274EE"/>
    <w:rsid w:val="00E30529"/>
    <w:rsid w:val="00E30DDE"/>
    <w:rsid w:val="00E31BAD"/>
    <w:rsid w:val="00E31EE5"/>
    <w:rsid w:val="00E326A9"/>
    <w:rsid w:val="00E338E9"/>
    <w:rsid w:val="00E363AA"/>
    <w:rsid w:val="00E36C6B"/>
    <w:rsid w:val="00E36C8F"/>
    <w:rsid w:val="00E37287"/>
    <w:rsid w:val="00E40277"/>
    <w:rsid w:val="00E40655"/>
    <w:rsid w:val="00E407CD"/>
    <w:rsid w:val="00E40AB0"/>
    <w:rsid w:val="00E40ECE"/>
    <w:rsid w:val="00E4130E"/>
    <w:rsid w:val="00E421B7"/>
    <w:rsid w:val="00E42271"/>
    <w:rsid w:val="00E423A4"/>
    <w:rsid w:val="00E44B04"/>
    <w:rsid w:val="00E4570F"/>
    <w:rsid w:val="00E4622A"/>
    <w:rsid w:val="00E529A2"/>
    <w:rsid w:val="00E52D27"/>
    <w:rsid w:val="00E54AE3"/>
    <w:rsid w:val="00E55CBF"/>
    <w:rsid w:val="00E5676D"/>
    <w:rsid w:val="00E57376"/>
    <w:rsid w:val="00E57A27"/>
    <w:rsid w:val="00E57C5D"/>
    <w:rsid w:val="00E61B88"/>
    <w:rsid w:val="00E61D21"/>
    <w:rsid w:val="00E62554"/>
    <w:rsid w:val="00E63FC2"/>
    <w:rsid w:val="00E64215"/>
    <w:rsid w:val="00E64F27"/>
    <w:rsid w:val="00E6549B"/>
    <w:rsid w:val="00E66541"/>
    <w:rsid w:val="00E6683E"/>
    <w:rsid w:val="00E67742"/>
    <w:rsid w:val="00E67995"/>
    <w:rsid w:val="00E705FD"/>
    <w:rsid w:val="00E71E99"/>
    <w:rsid w:val="00E72BDD"/>
    <w:rsid w:val="00E72F67"/>
    <w:rsid w:val="00E740CE"/>
    <w:rsid w:val="00E7481D"/>
    <w:rsid w:val="00E754EC"/>
    <w:rsid w:val="00E75D2E"/>
    <w:rsid w:val="00E767C0"/>
    <w:rsid w:val="00E76B03"/>
    <w:rsid w:val="00E76C19"/>
    <w:rsid w:val="00E77293"/>
    <w:rsid w:val="00E77620"/>
    <w:rsid w:val="00E77E36"/>
    <w:rsid w:val="00E806EA"/>
    <w:rsid w:val="00E84506"/>
    <w:rsid w:val="00E849D6"/>
    <w:rsid w:val="00E84CA8"/>
    <w:rsid w:val="00E84D1A"/>
    <w:rsid w:val="00E84FAD"/>
    <w:rsid w:val="00E860DA"/>
    <w:rsid w:val="00E8721F"/>
    <w:rsid w:val="00E8734B"/>
    <w:rsid w:val="00E87A0E"/>
    <w:rsid w:val="00E90C44"/>
    <w:rsid w:val="00E914B8"/>
    <w:rsid w:val="00E91DB9"/>
    <w:rsid w:val="00E94078"/>
    <w:rsid w:val="00E94575"/>
    <w:rsid w:val="00E95158"/>
    <w:rsid w:val="00E964BD"/>
    <w:rsid w:val="00E9668F"/>
    <w:rsid w:val="00E96C9D"/>
    <w:rsid w:val="00E96E2E"/>
    <w:rsid w:val="00EA0082"/>
    <w:rsid w:val="00EA00D2"/>
    <w:rsid w:val="00EA0711"/>
    <w:rsid w:val="00EA0DF3"/>
    <w:rsid w:val="00EA2941"/>
    <w:rsid w:val="00EA3F18"/>
    <w:rsid w:val="00EA5228"/>
    <w:rsid w:val="00EA5359"/>
    <w:rsid w:val="00EA66EC"/>
    <w:rsid w:val="00EA6D03"/>
    <w:rsid w:val="00EA74F8"/>
    <w:rsid w:val="00EA7955"/>
    <w:rsid w:val="00EA7CC4"/>
    <w:rsid w:val="00EA7D51"/>
    <w:rsid w:val="00EB1138"/>
    <w:rsid w:val="00EB1694"/>
    <w:rsid w:val="00EB19D5"/>
    <w:rsid w:val="00EB1A84"/>
    <w:rsid w:val="00EB1AA1"/>
    <w:rsid w:val="00EB3879"/>
    <w:rsid w:val="00EB5362"/>
    <w:rsid w:val="00EB5F67"/>
    <w:rsid w:val="00EB6C75"/>
    <w:rsid w:val="00EB6E7D"/>
    <w:rsid w:val="00EB7C08"/>
    <w:rsid w:val="00EC1815"/>
    <w:rsid w:val="00EC2630"/>
    <w:rsid w:val="00EC37B4"/>
    <w:rsid w:val="00EC5B31"/>
    <w:rsid w:val="00EC5E4D"/>
    <w:rsid w:val="00EC5EFB"/>
    <w:rsid w:val="00EC6A34"/>
    <w:rsid w:val="00ED04FC"/>
    <w:rsid w:val="00ED13F2"/>
    <w:rsid w:val="00ED2EDB"/>
    <w:rsid w:val="00ED35DC"/>
    <w:rsid w:val="00ED3BC4"/>
    <w:rsid w:val="00ED4F7A"/>
    <w:rsid w:val="00ED67F6"/>
    <w:rsid w:val="00ED77E4"/>
    <w:rsid w:val="00ED79BE"/>
    <w:rsid w:val="00ED79C1"/>
    <w:rsid w:val="00EE1A75"/>
    <w:rsid w:val="00EE2640"/>
    <w:rsid w:val="00EE28DC"/>
    <w:rsid w:val="00EE3FE3"/>
    <w:rsid w:val="00EE46A6"/>
    <w:rsid w:val="00EE587C"/>
    <w:rsid w:val="00EE6EF7"/>
    <w:rsid w:val="00EE6FCA"/>
    <w:rsid w:val="00EE730C"/>
    <w:rsid w:val="00EF089E"/>
    <w:rsid w:val="00EF0955"/>
    <w:rsid w:val="00EF0D70"/>
    <w:rsid w:val="00EF1011"/>
    <w:rsid w:val="00EF308F"/>
    <w:rsid w:val="00EF34E1"/>
    <w:rsid w:val="00EF3631"/>
    <w:rsid w:val="00EF75F4"/>
    <w:rsid w:val="00EF7C68"/>
    <w:rsid w:val="00F016DB"/>
    <w:rsid w:val="00F01F91"/>
    <w:rsid w:val="00F04713"/>
    <w:rsid w:val="00F059AC"/>
    <w:rsid w:val="00F05A1B"/>
    <w:rsid w:val="00F06182"/>
    <w:rsid w:val="00F07509"/>
    <w:rsid w:val="00F10506"/>
    <w:rsid w:val="00F11385"/>
    <w:rsid w:val="00F1181E"/>
    <w:rsid w:val="00F13199"/>
    <w:rsid w:val="00F1379E"/>
    <w:rsid w:val="00F14009"/>
    <w:rsid w:val="00F14C4A"/>
    <w:rsid w:val="00F14EBB"/>
    <w:rsid w:val="00F15413"/>
    <w:rsid w:val="00F1692D"/>
    <w:rsid w:val="00F1719D"/>
    <w:rsid w:val="00F20CFD"/>
    <w:rsid w:val="00F20DD2"/>
    <w:rsid w:val="00F21518"/>
    <w:rsid w:val="00F21EF0"/>
    <w:rsid w:val="00F2208A"/>
    <w:rsid w:val="00F22180"/>
    <w:rsid w:val="00F2230E"/>
    <w:rsid w:val="00F22837"/>
    <w:rsid w:val="00F228FE"/>
    <w:rsid w:val="00F23440"/>
    <w:rsid w:val="00F23C94"/>
    <w:rsid w:val="00F23E43"/>
    <w:rsid w:val="00F2429B"/>
    <w:rsid w:val="00F24CA5"/>
    <w:rsid w:val="00F252D2"/>
    <w:rsid w:val="00F258D7"/>
    <w:rsid w:val="00F25DF9"/>
    <w:rsid w:val="00F26785"/>
    <w:rsid w:val="00F26A90"/>
    <w:rsid w:val="00F26EB1"/>
    <w:rsid w:val="00F308FA"/>
    <w:rsid w:val="00F31B86"/>
    <w:rsid w:val="00F322D2"/>
    <w:rsid w:val="00F32380"/>
    <w:rsid w:val="00F330ED"/>
    <w:rsid w:val="00F34C3C"/>
    <w:rsid w:val="00F3657A"/>
    <w:rsid w:val="00F3676D"/>
    <w:rsid w:val="00F3773D"/>
    <w:rsid w:val="00F37B9F"/>
    <w:rsid w:val="00F424E1"/>
    <w:rsid w:val="00F45F15"/>
    <w:rsid w:val="00F460E8"/>
    <w:rsid w:val="00F47394"/>
    <w:rsid w:val="00F47B3C"/>
    <w:rsid w:val="00F503C4"/>
    <w:rsid w:val="00F517A2"/>
    <w:rsid w:val="00F5211D"/>
    <w:rsid w:val="00F522A5"/>
    <w:rsid w:val="00F531A2"/>
    <w:rsid w:val="00F5572F"/>
    <w:rsid w:val="00F557C8"/>
    <w:rsid w:val="00F55AA0"/>
    <w:rsid w:val="00F55CCB"/>
    <w:rsid w:val="00F56659"/>
    <w:rsid w:val="00F568EF"/>
    <w:rsid w:val="00F577EC"/>
    <w:rsid w:val="00F57949"/>
    <w:rsid w:val="00F57CFA"/>
    <w:rsid w:val="00F57EF4"/>
    <w:rsid w:val="00F60426"/>
    <w:rsid w:val="00F61376"/>
    <w:rsid w:val="00F61475"/>
    <w:rsid w:val="00F620F3"/>
    <w:rsid w:val="00F62A2D"/>
    <w:rsid w:val="00F62AA2"/>
    <w:rsid w:val="00F635DF"/>
    <w:rsid w:val="00F63739"/>
    <w:rsid w:val="00F6436B"/>
    <w:rsid w:val="00F64A5F"/>
    <w:rsid w:val="00F657F9"/>
    <w:rsid w:val="00F66044"/>
    <w:rsid w:val="00F663F5"/>
    <w:rsid w:val="00F66ACA"/>
    <w:rsid w:val="00F66D4C"/>
    <w:rsid w:val="00F67702"/>
    <w:rsid w:val="00F6777D"/>
    <w:rsid w:val="00F67AA3"/>
    <w:rsid w:val="00F67C56"/>
    <w:rsid w:val="00F7047B"/>
    <w:rsid w:val="00F7074A"/>
    <w:rsid w:val="00F7160D"/>
    <w:rsid w:val="00F7230F"/>
    <w:rsid w:val="00F726E6"/>
    <w:rsid w:val="00F7344A"/>
    <w:rsid w:val="00F7394E"/>
    <w:rsid w:val="00F739A5"/>
    <w:rsid w:val="00F7472A"/>
    <w:rsid w:val="00F74DF4"/>
    <w:rsid w:val="00F75694"/>
    <w:rsid w:val="00F75857"/>
    <w:rsid w:val="00F759CC"/>
    <w:rsid w:val="00F76D8F"/>
    <w:rsid w:val="00F7719E"/>
    <w:rsid w:val="00F775AE"/>
    <w:rsid w:val="00F77D2C"/>
    <w:rsid w:val="00F8167F"/>
    <w:rsid w:val="00F81727"/>
    <w:rsid w:val="00F81A1D"/>
    <w:rsid w:val="00F824DF"/>
    <w:rsid w:val="00F8280B"/>
    <w:rsid w:val="00F82E90"/>
    <w:rsid w:val="00F8372F"/>
    <w:rsid w:val="00F83EE7"/>
    <w:rsid w:val="00F83EEE"/>
    <w:rsid w:val="00F84476"/>
    <w:rsid w:val="00F84E1B"/>
    <w:rsid w:val="00F852D5"/>
    <w:rsid w:val="00F91A10"/>
    <w:rsid w:val="00F93676"/>
    <w:rsid w:val="00F93BFE"/>
    <w:rsid w:val="00F93E1C"/>
    <w:rsid w:val="00F947C1"/>
    <w:rsid w:val="00F955C4"/>
    <w:rsid w:val="00F95904"/>
    <w:rsid w:val="00F95EE5"/>
    <w:rsid w:val="00FA1ED9"/>
    <w:rsid w:val="00FA2E80"/>
    <w:rsid w:val="00FA5314"/>
    <w:rsid w:val="00FB013D"/>
    <w:rsid w:val="00FB0178"/>
    <w:rsid w:val="00FB04A9"/>
    <w:rsid w:val="00FB1F90"/>
    <w:rsid w:val="00FB48E5"/>
    <w:rsid w:val="00FB4D03"/>
    <w:rsid w:val="00FB626D"/>
    <w:rsid w:val="00FB6BC0"/>
    <w:rsid w:val="00FC02A3"/>
    <w:rsid w:val="00FC2609"/>
    <w:rsid w:val="00FC3B8F"/>
    <w:rsid w:val="00FC531B"/>
    <w:rsid w:val="00FC649C"/>
    <w:rsid w:val="00FC68BB"/>
    <w:rsid w:val="00FD045E"/>
    <w:rsid w:val="00FD061C"/>
    <w:rsid w:val="00FD4BB8"/>
    <w:rsid w:val="00FD4BDC"/>
    <w:rsid w:val="00FD4FE5"/>
    <w:rsid w:val="00FD6A2E"/>
    <w:rsid w:val="00FE000A"/>
    <w:rsid w:val="00FE05E8"/>
    <w:rsid w:val="00FE169D"/>
    <w:rsid w:val="00FE23B4"/>
    <w:rsid w:val="00FE4F9A"/>
    <w:rsid w:val="00FE5187"/>
    <w:rsid w:val="00FE51B8"/>
    <w:rsid w:val="00FE5B1E"/>
    <w:rsid w:val="00FE671F"/>
    <w:rsid w:val="00FE6C3B"/>
    <w:rsid w:val="00FE6E30"/>
    <w:rsid w:val="00FE7AAF"/>
    <w:rsid w:val="00FE7B5B"/>
    <w:rsid w:val="00FE7C06"/>
    <w:rsid w:val="00FF1223"/>
    <w:rsid w:val="00FF1B3B"/>
    <w:rsid w:val="00FF2208"/>
    <w:rsid w:val="00FF2A0C"/>
    <w:rsid w:val="00FF3201"/>
    <w:rsid w:val="00FF3497"/>
    <w:rsid w:val="00FF449E"/>
    <w:rsid w:val="00FF4DF2"/>
    <w:rsid w:val="00FF50AB"/>
    <w:rsid w:val="00FF526B"/>
    <w:rsid w:val="00FF5701"/>
    <w:rsid w:val="00FF64C7"/>
    <w:rsid w:val="00FF6A84"/>
    <w:rsid w:val="00FF6B7C"/>
    <w:rsid w:val="06A358D7"/>
    <w:rsid w:val="0A234EBF"/>
    <w:rsid w:val="19472050"/>
    <w:rsid w:val="1E9E78A0"/>
    <w:rsid w:val="1F380940"/>
    <w:rsid w:val="1F61564B"/>
    <w:rsid w:val="27DB4A3B"/>
    <w:rsid w:val="39EF163D"/>
    <w:rsid w:val="3F4F6B90"/>
    <w:rsid w:val="4B3602E2"/>
    <w:rsid w:val="52C8207D"/>
    <w:rsid w:val="55E055D4"/>
    <w:rsid w:val="59632DCD"/>
    <w:rsid w:val="5B876F78"/>
    <w:rsid w:val="605F7201"/>
    <w:rsid w:val="62F636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qFormat="1" w:uiPriority="99" w:semiHidden="0"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21"/>
      <w:szCs w:val="22"/>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4"/>
    <w:unhideWhenUsed/>
    <w:qFormat/>
    <w:uiPriority w:val="9"/>
    <w:pPr>
      <w:keepNext/>
      <w:keepLines/>
      <w:spacing w:before="280" w:after="290" w:line="376" w:lineRule="auto"/>
      <w:outlineLvl w:val="4"/>
    </w:pPr>
    <w:rPr>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unhideWhenUsed/>
    <w:qFormat/>
    <w:uiPriority w:val="39"/>
    <w:pPr>
      <w:ind w:left="2520" w:leftChars="1200"/>
    </w:pPr>
  </w:style>
  <w:style w:type="paragraph" w:styleId="8">
    <w:name w:val="caption"/>
    <w:basedOn w:val="1"/>
    <w:next w:val="1"/>
    <w:unhideWhenUsed/>
    <w:qFormat/>
    <w:uiPriority w:val="35"/>
    <w:rPr>
      <w:rFonts w:eastAsia="黑体" w:asciiTheme="majorHAnsi" w:hAnsiTheme="majorHAnsi" w:cstheme="majorBidi"/>
      <w:sz w:val="20"/>
      <w:szCs w:val="20"/>
    </w:rPr>
  </w:style>
  <w:style w:type="paragraph" w:styleId="9">
    <w:name w:val="annotation text"/>
    <w:basedOn w:val="1"/>
    <w:link w:val="41"/>
    <w:semiHidden/>
    <w:unhideWhenUsed/>
    <w:qFormat/>
    <w:uiPriority w:val="99"/>
    <w:pPr>
      <w:jc w:val="left"/>
    </w:pPr>
  </w:style>
  <w:style w:type="paragraph" w:styleId="10">
    <w:name w:val="toc 5"/>
    <w:basedOn w:val="1"/>
    <w:next w:val="1"/>
    <w:unhideWhenUsed/>
    <w:qFormat/>
    <w:uiPriority w:val="39"/>
    <w:pPr>
      <w:tabs>
        <w:tab w:val="left" w:pos="2310"/>
        <w:tab w:val="right" w:leader="dot" w:pos="8296"/>
      </w:tabs>
      <w:ind w:left="1680" w:leftChars="800"/>
    </w:pPr>
  </w:style>
  <w:style w:type="paragraph" w:styleId="11">
    <w:name w:val="toc 3"/>
    <w:basedOn w:val="1"/>
    <w:next w:val="1"/>
    <w:unhideWhenUsed/>
    <w:qFormat/>
    <w:uiPriority w:val="39"/>
    <w:pPr>
      <w:tabs>
        <w:tab w:val="left" w:pos="1260"/>
        <w:tab w:val="right" w:leader="dot" w:pos="8296"/>
      </w:tabs>
      <w:ind w:left="840" w:leftChars="400"/>
    </w:pPr>
  </w:style>
  <w:style w:type="paragraph" w:styleId="12">
    <w:name w:val="toc 8"/>
    <w:basedOn w:val="1"/>
    <w:next w:val="1"/>
    <w:unhideWhenUsed/>
    <w:qFormat/>
    <w:uiPriority w:val="39"/>
    <w:pPr>
      <w:ind w:left="2940" w:leftChars="1400"/>
    </w:pPr>
  </w:style>
  <w:style w:type="paragraph" w:styleId="13">
    <w:name w:val="Date"/>
    <w:basedOn w:val="1"/>
    <w:next w:val="1"/>
    <w:link w:val="44"/>
    <w:semiHidden/>
    <w:unhideWhenUsed/>
    <w:qFormat/>
    <w:uiPriority w:val="99"/>
    <w:pPr>
      <w:ind w:left="100" w:leftChars="2500"/>
    </w:pPr>
  </w:style>
  <w:style w:type="paragraph" w:styleId="14">
    <w:name w:val="Balloon Text"/>
    <w:basedOn w:val="1"/>
    <w:link w:val="38"/>
    <w:semiHidden/>
    <w:unhideWhenUsed/>
    <w:qFormat/>
    <w:uiPriority w:val="99"/>
    <w:rPr>
      <w:sz w:val="18"/>
      <w:szCs w:val="18"/>
    </w:rPr>
  </w:style>
  <w:style w:type="paragraph" w:styleId="15">
    <w:name w:val="footer"/>
    <w:basedOn w:val="1"/>
    <w:link w:val="36"/>
    <w:unhideWhenUsed/>
    <w:qFormat/>
    <w:uiPriority w:val="99"/>
    <w:pPr>
      <w:tabs>
        <w:tab w:val="center" w:pos="4153"/>
        <w:tab w:val="right" w:pos="8306"/>
      </w:tabs>
      <w:snapToGrid w:val="0"/>
      <w:jc w:val="left"/>
    </w:pPr>
    <w:rPr>
      <w:sz w:val="18"/>
      <w:szCs w:val="18"/>
    </w:rPr>
  </w:style>
  <w:style w:type="paragraph" w:styleId="16">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tabs>
        <w:tab w:val="right" w:leader="dot" w:pos="8296"/>
      </w:tabs>
      <w:jc w:val="left"/>
    </w:pPr>
    <w:rPr>
      <w:rFonts w:ascii="仿宋" w:hAnsi="仿宋"/>
      <w:b/>
      <w:lang w:val="zh-CN"/>
    </w:rPr>
  </w:style>
  <w:style w:type="paragraph" w:styleId="18">
    <w:name w:val="toc 4"/>
    <w:basedOn w:val="1"/>
    <w:next w:val="1"/>
    <w:unhideWhenUsed/>
    <w:qFormat/>
    <w:uiPriority w:val="39"/>
    <w:pPr>
      <w:ind w:left="1260" w:leftChars="600"/>
    </w:pPr>
  </w:style>
  <w:style w:type="paragraph" w:styleId="19">
    <w:name w:val="toc 6"/>
    <w:basedOn w:val="1"/>
    <w:next w:val="1"/>
    <w:unhideWhenUsed/>
    <w:qFormat/>
    <w:uiPriority w:val="39"/>
    <w:pPr>
      <w:ind w:left="2100" w:leftChars="1000"/>
    </w:pPr>
  </w:style>
  <w:style w:type="paragraph" w:styleId="20">
    <w:name w:val="table of figures"/>
    <w:basedOn w:val="1"/>
    <w:next w:val="1"/>
    <w:unhideWhenUsed/>
    <w:qFormat/>
    <w:uiPriority w:val="99"/>
    <w:pPr>
      <w:ind w:left="200" w:leftChars="200" w:hanging="200" w:hangingChars="200"/>
    </w:pPr>
  </w:style>
  <w:style w:type="paragraph" w:styleId="21">
    <w:name w:val="toc 2"/>
    <w:basedOn w:val="1"/>
    <w:next w:val="1"/>
    <w:unhideWhenUsed/>
    <w:qFormat/>
    <w:uiPriority w:val="39"/>
    <w:pPr>
      <w:tabs>
        <w:tab w:val="right" w:leader="dot" w:pos="8296"/>
      </w:tabs>
      <w:ind w:left="420" w:leftChars="200"/>
    </w:pPr>
  </w:style>
  <w:style w:type="paragraph" w:styleId="22">
    <w:name w:val="toc 9"/>
    <w:basedOn w:val="1"/>
    <w:next w:val="1"/>
    <w:unhideWhenUsed/>
    <w:qFormat/>
    <w:uiPriority w:val="39"/>
    <w:pPr>
      <w:ind w:left="3360" w:leftChars="1600"/>
    </w:pPr>
  </w:style>
  <w:style w:type="paragraph" w:styleId="2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4">
    <w:name w:val="annotation subject"/>
    <w:basedOn w:val="9"/>
    <w:next w:val="9"/>
    <w:link w:val="42"/>
    <w:semiHidden/>
    <w:unhideWhenUsed/>
    <w:qFormat/>
    <w:uiPriority w:val="99"/>
    <w:rPr>
      <w:b/>
      <w:bCs/>
    </w:rPr>
  </w:style>
  <w:style w:type="table" w:styleId="26">
    <w:name w:val="Table Grid"/>
    <w:basedOn w:val="2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Hyperlink"/>
    <w:basedOn w:val="27"/>
    <w:unhideWhenUsed/>
    <w:qFormat/>
    <w:uiPriority w:val="99"/>
    <w:rPr>
      <w:color w:val="0563C1" w:themeColor="hyperlink"/>
      <w:u w:val="single"/>
      <w14:textFill>
        <w14:solidFill>
          <w14:schemeClr w14:val="hlink"/>
        </w14:solidFill>
      </w14:textFill>
    </w:rPr>
  </w:style>
  <w:style w:type="character" w:styleId="29">
    <w:name w:val="annotation reference"/>
    <w:basedOn w:val="27"/>
    <w:semiHidden/>
    <w:unhideWhenUsed/>
    <w:qFormat/>
    <w:uiPriority w:val="99"/>
    <w:rPr>
      <w:sz w:val="21"/>
      <w:szCs w:val="21"/>
    </w:rPr>
  </w:style>
  <w:style w:type="character" w:customStyle="1" w:styleId="30">
    <w:name w:val="标题 1 Char"/>
    <w:basedOn w:val="27"/>
    <w:link w:val="2"/>
    <w:qFormat/>
    <w:uiPriority w:val="9"/>
    <w:rPr>
      <w:b/>
      <w:bCs/>
      <w:kern w:val="44"/>
      <w:sz w:val="44"/>
      <w:szCs w:val="44"/>
    </w:rPr>
  </w:style>
  <w:style w:type="character" w:customStyle="1" w:styleId="31">
    <w:name w:val="标题 2 Char"/>
    <w:basedOn w:val="27"/>
    <w:link w:val="3"/>
    <w:qFormat/>
    <w:uiPriority w:val="9"/>
    <w:rPr>
      <w:rFonts w:asciiTheme="majorHAnsi" w:hAnsiTheme="majorHAnsi" w:eastAsiaTheme="majorEastAsia" w:cstheme="majorBidi"/>
      <w:b/>
      <w:bCs/>
      <w:sz w:val="32"/>
      <w:szCs w:val="32"/>
    </w:rPr>
  </w:style>
  <w:style w:type="character" w:customStyle="1" w:styleId="32">
    <w:name w:val="标题 3 Char"/>
    <w:basedOn w:val="27"/>
    <w:link w:val="4"/>
    <w:qFormat/>
    <w:uiPriority w:val="9"/>
    <w:rPr>
      <w:b/>
      <w:bCs/>
      <w:sz w:val="32"/>
      <w:szCs w:val="32"/>
    </w:rPr>
  </w:style>
  <w:style w:type="character" w:customStyle="1" w:styleId="33">
    <w:name w:val="标题 4 Char"/>
    <w:basedOn w:val="27"/>
    <w:link w:val="5"/>
    <w:qFormat/>
    <w:uiPriority w:val="9"/>
    <w:rPr>
      <w:rFonts w:asciiTheme="majorHAnsi" w:hAnsiTheme="majorHAnsi" w:eastAsiaTheme="majorEastAsia" w:cstheme="majorBidi"/>
      <w:b/>
      <w:bCs/>
      <w:sz w:val="28"/>
      <w:szCs w:val="28"/>
    </w:rPr>
  </w:style>
  <w:style w:type="character" w:customStyle="1" w:styleId="34">
    <w:name w:val="标题 5 Char"/>
    <w:basedOn w:val="27"/>
    <w:link w:val="6"/>
    <w:qFormat/>
    <w:uiPriority w:val="9"/>
    <w:rPr>
      <w:b/>
      <w:bCs/>
      <w:sz w:val="28"/>
      <w:szCs w:val="28"/>
    </w:rPr>
  </w:style>
  <w:style w:type="character" w:customStyle="1" w:styleId="35">
    <w:name w:val="页眉 Char"/>
    <w:basedOn w:val="27"/>
    <w:link w:val="16"/>
    <w:qFormat/>
    <w:uiPriority w:val="99"/>
    <w:rPr>
      <w:sz w:val="18"/>
      <w:szCs w:val="18"/>
    </w:rPr>
  </w:style>
  <w:style w:type="character" w:customStyle="1" w:styleId="36">
    <w:name w:val="页脚 Char"/>
    <w:basedOn w:val="27"/>
    <w:link w:val="15"/>
    <w:qFormat/>
    <w:uiPriority w:val="99"/>
    <w:rPr>
      <w:sz w:val="18"/>
      <w:szCs w:val="18"/>
    </w:rPr>
  </w:style>
  <w:style w:type="paragraph" w:styleId="37">
    <w:name w:val="List Paragraph"/>
    <w:basedOn w:val="1"/>
    <w:qFormat/>
    <w:uiPriority w:val="34"/>
    <w:pPr>
      <w:ind w:firstLine="420" w:firstLineChars="200"/>
    </w:pPr>
  </w:style>
  <w:style w:type="character" w:customStyle="1" w:styleId="38">
    <w:name w:val="批注框文本 Char"/>
    <w:basedOn w:val="27"/>
    <w:link w:val="14"/>
    <w:semiHidden/>
    <w:qFormat/>
    <w:uiPriority w:val="99"/>
    <w:rPr>
      <w:sz w:val="18"/>
      <w:szCs w:val="18"/>
    </w:rPr>
  </w:style>
  <w:style w:type="paragraph" w:styleId="3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41">
    <w:name w:val="批注文字 Char"/>
    <w:basedOn w:val="27"/>
    <w:link w:val="9"/>
    <w:semiHidden/>
    <w:qFormat/>
    <w:uiPriority w:val="99"/>
  </w:style>
  <w:style w:type="character" w:customStyle="1" w:styleId="42">
    <w:name w:val="批注主题 Char"/>
    <w:basedOn w:val="41"/>
    <w:link w:val="24"/>
    <w:semiHidden/>
    <w:qFormat/>
    <w:uiPriority w:val="99"/>
    <w:rPr>
      <w:b/>
      <w:bCs/>
    </w:rPr>
  </w:style>
  <w:style w:type="character" w:customStyle="1" w:styleId="43">
    <w:name w:val="未处理的提及1"/>
    <w:basedOn w:val="27"/>
    <w:semiHidden/>
    <w:unhideWhenUsed/>
    <w:qFormat/>
    <w:uiPriority w:val="99"/>
    <w:rPr>
      <w:color w:val="605E5C"/>
      <w:shd w:val="clear" w:color="auto" w:fill="E1DFDD"/>
    </w:rPr>
  </w:style>
  <w:style w:type="character" w:customStyle="1" w:styleId="44">
    <w:name w:val="日期 Char"/>
    <w:basedOn w:val="27"/>
    <w:link w:val="13"/>
    <w:semiHidden/>
    <w:qFormat/>
    <w:uiPriority w:val="99"/>
  </w:style>
  <w:style w:type="character" w:customStyle="1" w:styleId="45">
    <w:name w:val="未处理的提及2"/>
    <w:basedOn w:val="27"/>
    <w:semiHidden/>
    <w:unhideWhenUsed/>
    <w:qFormat/>
    <w:uiPriority w:val="99"/>
    <w:rPr>
      <w:color w:val="605E5C"/>
      <w:shd w:val="clear" w:color="auto" w:fill="E1DFDD"/>
    </w:rPr>
  </w:style>
  <w:style w:type="paragraph" w:customStyle="1" w:styleId="46">
    <w:name w:val="p17"/>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customStyle="1" w:styleId="47">
    <w:name w:val="网格表 4 - 着色 51"/>
    <w:basedOn w:val="25"/>
    <w:qFormat/>
    <w:uiPriority w:val="49"/>
    <w:rPr>
      <w:sz w:val="24"/>
      <w:szCs w:val="24"/>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8">
    <w:name w:val="网格型1"/>
    <w:basedOn w:val="25"/>
    <w:qFormat/>
    <w:uiPriority w:val="0"/>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15E6E6-7360-4D22-8CB3-3195719E33F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68</Pages>
  <Words>6773</Words>
  <Characters>38610</Characters>
  <Lines>321</Lines>
  <Paragraphs>90</Paragraphs>
  <TotalTime>1</TotalTime>
  <ScaleCrop>false</ScaleCrop>
  <LinksUpToDate>false</LinksUpToDate>
  <CharactersWithSpaces>45293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2021-11-30T02:51:00Z</dcterms:created>
  <dc:creator>Zhiyong Yang</dc:creator>
  <cp:lastModifiedBy>Administrator</cp:lastModifiedBy>
  <cp:lastPrinted>2022-01-20T00:16:00Z</cp:lastPrinted>
  <dcterms:modified xsi:type="dcterms:W3CDTF">2022-01-28T06:47:31Z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9E6E6A283C724BA19AA8DFE0EBAC23C5</vt:lpwstr>
  </property>
</Properties>
</file>